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紫金农商银行2026年一季度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关联交易专项报告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本行根据《银行保险机构关联交易管理办法》和本行《关联交易管理办法》的相关规定，依法合规开展关联交易，现将2026年一季度末关联交易的具体情况披露如下：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截至2026年一季度末，本行与关联方发生的授信类关联交易净额</w:t>
      </w:r>
      <w:r>
        <w:rPr>
          <w:rFonts w:hint="eastAsia" w:ascii="仿宋_GB2312" w:hAnsi="宋体" w:eastAsia="仿宋_GB2312"/>
          <w:sz w:val="32"/>
          <w:szCs w:val="32"/>
        </w:rPr>
        <w:t>65.96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亿元，占资本净额的27.0%，均符合监管规定。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二、资产转移类关联交易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2026年一季度，本行与关联方发生的资产转移类关联交易金额</w:t>
      </w:r>
      <w:r>
        <w:rPr>
          <w:rFonts w:hint="eastAsia" w:ascii="仿宋_GB2312" w:hAnsi="宋体" w:eastAsia="仿宋_GB2312"/>
          <w:sz w:val="32"/>
          <w:szCs w:val="32"/>
        </w:rPr>
        <w:t>8.62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2026年一季度，本行与关联方发生的服务类关联交易金额</w:t>
      </w:r>
      <w:r>
        <w:rPr>
          <w:rFonts w:hint="eastAsia" w:ascii="仿宋_GB2312" w:hAnsi="宋体" w:eastAsia="仿宋_GB2312"/>
          <w:sz w:val="32"/>
          <w:szCs w:val="32"/>
        </w:rPr>
        <w:t>0.011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四、存款和其他类型关联交易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2026年一季度，本行与关联方发生的存款类关联交易</w:t>
      </w:r>
      <w:r>
        <w:rPr>
          <w:rFonts w:hint="eastAsia" w:ascii="仿宋_GB2312" w:hAnsi="宋体" w:eastAsia="仿宋_GB2312"/>
          <w:sz w:val="32"/>
          <w:szCs w:val="32"/>
        </w:rPr>
        <w:t>2.06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亿元，其他类关联交易</w:t>
      </w:r>
      <w:r>
        <w:rPr>
          <w:rFonts w:hint="eastAsia" w:ascii="仿宋_GB2312" w:hAnsi="宋体" w:eastAsia="仿宋_GB2312"/>
          <w:sz w:val="32"/>
          <w:szCs w:val="32"/>
        </w:rPr>
        <w:t>0.018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亿元。均符合监管规定。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江苏紫金农村商业银行股份有限公司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3DE7"/>
    <w:rsid w:val="007C0C3E"/>
    <w:rsid w:val="088A7CE8"/>
    <w:rsid w:val="0FB62F8C"/>
    <w:rsid w:val="116577BB"/>
    <w:rsid w:val="1F422126"/>
    <w:rsid w:val="20282F3B"/>
    <w:rsid w:val="266A5F61"/>
    <w:rsid w:val="3F5F1F2E"/>
    <w:rsid w:val="5CB852C5"/>
    <w:rsid w:val="64EC1599"/>
    <w:rsid w:val="65FD3DD0"/>
    <w:rsid w:val="691A3DE7"/>
    <w:rsid w:val="6EAE26B0"/>
    <w:rsid w:val="773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2025-04-23T10:08:00Z</dcterms:created>
  <dc:creator>夏</dc:creator>
  <cp:lastModifiedBy>葛伶燕</cp:lastModifiedBy>
  <dcterms:modified xsi:type="dcterms:W3CDTF">2026-04-24T02:23:58Z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47FA096299D24E32B11E5ED3E765E2BE_13</vt:lpwstr>
  </property>
</Properties>
</file>