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5AE9">
      <w:pPr>
        <w:adjustRightInd w:val="0"/>
        <w:snapToGrid w:val="0"/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证券代码：  601860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  <w:lang w:eastAsia="zh-CN"/>
        </w:rPr>
        <w:t>证券简称：  紫金银行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szCs w:val="24"/>
          <w:lang w:eastAsia="zh-CN"/>
        </w:rPr>
        <w:t>公告编号：2026-</w:t>
      </w:r>
      <w:r>
        <w:rPr>
          <w:rFonts w:hint="eastAsia" w:ascii="宋体" w:hAnsi="宋体"/>
          <w:sz w:val="24"/>
          <w:szCs w:val="24"/>
          <w:lang w:val="en-US" w:eastAsia="zh-CN"/>
        </w:rPr>
        <w:t>016</w:t>
      </w:r>
    </w:p>
    <w:p w14:paraId="3313B4DB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可转债代码：113037     可转债简称：紫银转债</w:t>
      </w:r>
    </w:p>
    <w:p w14:paraId="401F0382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  <w:lang w:eastAsia="zh-CN"/>
        </w:rPr>
      </w:pPr>
    </w:p>
    <w:p w14:paraId="7BC3A09D">
      <w:pPr>
        <w:pStyle w:val="19"/>
        <w:snapToGrid w:val="0"/>
        <w:spacing w:line="360" w:lineRule="auto"/>
        <w:jc w:val="center"/>
        <w:rPr>
          <w:rFonts w:ascii="黑体" w:hAnsi="黑体" w:eastAsia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江苏紫金农村商业银行股份有限公司</w:t>
      </w:r>
    </w:p>
    <w:p w14:paraId="5C0CA85E">
      <w:pPr>
        <w:pStyle w:val="19"/>
        <w:snapToGrid w:val="0"/>
        <w:spacing w:line="360" w:lineRule="auto"/>
        <w:jc w:val="center"/>
        <w:rPr>
          <w:rFonts w:ascii="黑体" w:hAnsi="黑体" w:eastAsia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2026年度估值提升计划暨“提质增效重回报”行动方案</w:t>
      </w:r>
    </w:p>
    <w:p w14:paraId="46E65DAC">
      <w:pPr>
        <w:pStyle w:val="19"/>
        <w:snapToGrid w:val="0"/>
        <w:spacing w:line="360" w:lineRule="auto"/>
        <w:ind w:firstLine="420"/>
        <w:jc w:val="center"/>
        <w:rPr>
          <w:rFonts w:ascii="黑体" w:hAnsi="黑体" w:eastAsia="黑体"/>
          <w:color w:val="FF0000"/>
          <w:sz w:val="32"/>
          <w:szCs w:val="32"/>
          <w:lang w:eastAsia="zh-CN"/>
        </w:rPr>
      </w:pPr>
    </w:p>
    <w:p w14:paraId="2340998D">
      <w:pPr>
        <w:pBdr>
          <w:top w:val="single" w:color="auto" w:sz="4" w:space="1"/>
          <w:left w:val="single" w:color="auto" w:sz="4" w:space="4"/>
          <w:bottom w:val="single" w:color="auto" w:sz="4" w:space="8"/>
          <w:right w:val="single" w:color="auto" w:sz="4" w:space="4"/>
        </w:pBd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0F1FC0AF">
      <w:pPr>
        <w:pStyle w:val="3"/>
        <w:spacing w:line="367" w:lineRule="exact"/>
        <w:ind w:left="702" w:firstLine="0"/>
        <w:rPr>
          <w:rFonts w:ascii="宋体" w:hAnsi="宋体" w:eastAsia="宋体" w:cs="宋体"/>
          <w:lang w:eastAsia="zh-CN"/>
        </w:rPr>
      </w:pPr>
    </w:p>
    <w:p w14:paraId="43D6A32E">
      <w:pPr>
        <w:pStyle w:val="3"/>
        <w:spacing w:line="367" w:lineRule="exact"/>
        <w:ind w:left="702" w:firstLine="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重要内容提示:</w:t>
      </w:r>
    </w:p>
    <w:p w14:paraId="017F1665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Wingdings" w:hAnsi="Wingdings" w:eastAsia="Wingdings" w:cs="Wingdings"/>
          <w:sz w:val="24"/>
          <w:szCs w:val="24"/>
          <w:lang w:eastAsia="zh-CN"/>
        </w:rPr>
        <w:t>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制定背景及审议程序：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根据中国证监会《上市公司监管指引第10号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——市值管理》、上海证券交易所“提质增效重回报”专项行动等相关规定，江苏紫金农村商业银行股份有限公司(以下简称“公司”)应制定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估值提升计划暨“提质增效重回报”行动方案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。2026年4月22日，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公司董事会审议通过了关于《江苏紫金农村商业银行股份有限公司估值提升计划暨“提质增效重回报”行动方案》的议案。</w:t>
      </w:r>
    </w:p>
    <w:p w14:paraId="1A461EA0">
      <w:pPr>
        <w:pStyle w:val="3"/>
        <w:spacing w:line="560" w:lineRule="exact"/>
        <w:ind w:left="0" w:firstLine="480" w:firstLineChars="200"/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highlight w:val="none"/>
          <w:lang w:val="en-US" w:eastAsia="zh-CN" w:bidi="ar-SA"/>
        </w:rPr>
      </w:pPr>
      <w:r>
        <w:rPr>
          <w:rFonts w:ascii="Wingdings" w:hAnsi="Wingdings" w:eastAsia="Wingdings" w:cs="Wingdings"/>
          <w:highlight w:val="none"/>
          <w:lang w:eastAsia="zh-CN"/>
        </w:rPr>
        <w:t>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内容概述：</w:t>
      </w:r>
      <w:r>
        <w:rPr>
          <w:rFonts w:ascii="宋体" w:hAnsi="宋体" w:eastAsia="宋体" w:cs="宋体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highlight w:val="none"/>
          <w:lang w:val="en-US" w:eastAsia="zh-CN" w:bidi="ar-SA"/>
        </w:rPr>
        <w:t>一是从服务国家战略，深耕实体经济；二是创新产品服务，赋能新质生产力；三是强化公司治理，提升治理质效；四是聚焦“关键少数”，强化责任担当；五是重视投资者回报，共享高质量发展成果；六是加强投资者关系管理，传递公司价值。</w:t>
      </w:r>
    </w:p>
    <w:p w14:paraId="4C5671A8">
      <w:pPr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Wingdings" w:hAnsi="Wingdings" w:eastAsia="Wingdings" w:cs="Wingdings"/>
          <w:sz w:val="24"/>
          <w:szCs w:val="24"/>
          <w:highlight w:val="none"/>
          <w:lang w:eastAsia="zh-CN"/>
        </w:rPr>
        <w:t></w:t>
      </w:r>
      <w:r>
        <w:rPr>
          <w:rFonts w:ascii="Wingdings" w:hAnsi="Wingdings" w:eastAsia="Wingdings" w:cs="Wingdings"/>
          <w:spacing w:val="-71"/>
          <w:sz w:val="24"/>
          <w:szCs w:val="24"/>
          <w:highlight w:val="none"/>
          <w:lang w:eastAsia="zh-CN"/>
        </w:rPr>
        <w:t>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highlight w:val="none"/>
          <w:lang w:eastAsia="zh-CN"/>
        </w:rPr>
        <w:t>相关风险提示：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本估值提升计划暨“提质增效重回报”行动方案仅为公司行动计划，不代表公司对业绩、股价、重大事件等任何指标或事项的承诺。公司业绩及二级市场表现受到宏观形势、行业政策、市场情况等诸多因素影响，相关目标的实现情况存在不确定性。</w:t>
      </w:r>
    </w:p>
    <w:p w14:paraId="5B0732D0">
      <w:pPr>
        <w:pStyle w:val="4"/>
        <w:spacing w:before="0" w:line="560" w:lineRule="exact"/>
        <w:ind w:left="0" w:right="215" w:firstLine="482" w:firstLineChars="200"/>
        <w:jc w:val="both"/>
        <w:rPr>
          <w:rFonts w:cs="宋体"/>
          <w:highlight w:val="none"/>
          <w:lang w:eastAsia="zh-CN"/>
        </w:rPr>
      </w:pPr>
      <w:r>
        <w:rPr>
          <w:rFonts w:hint="eastAsia" w:cs="宋体"/>
          <w:b/>
          <w:highlight w:val="none"/>
          <w:lang w:eastAsia="zh-CN"/>
        </w:rPr>
        <w:t>一、估值提升计划暨“提质增效重回报”行动方案的制定背景及审议程序</w:t>
      </w:r>
    </w:p>
    <w:p w14:paraId="65B59077">
      <w:pPr>
        <w:pStyle w:val="4"/>
        <w:spacing w:line="560" w:lineRule="exact"/>
        <w:ind w:right="215" w:firstLine="480" w:firstLineChars="200"/>
        <w:jc w:val="both"/>
        <w:rPr>
          <w:rFonts w:cs="宋体"/>
          <w:highlight w:val="none"/>
          <w:lang w:eastAsia="zh-CN"/>
        </w:rPr>
      </w:pPr>
      <w:r>
        <w:rPr>
          <w:rFonts w:hint="eastAsia" w:cs="宋体"/>
          <w:highlight w:val="none"/>
          <w:lang w:eastAsia="zh-CN"/>
        </w:rPr>
        <w:t>（一）制定背景</w:t>
      </w:r>
    </w:p>
    <w:p w14:paraId="309A85D4">
      <w:pPr>
        <w:pStyle w:val="4"/>
        <w:spacing w:before="0" w:line="560" w:lineRule="exact"/>
        <w:ind w:left="0" w:right="215" w:firstLine="480" w:firstLineChars="200"/>
        <w:jc w:val="both"/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根据中国证监会《上市公司监管指引第10号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——市值管理》、上海证券交易所“提质增效重回报”专项行动等相关规定，</w:t>
      </w:r>
      <w:r>
        <w:rPr>
          <w:rFonts w:hint="eastAsia" w:cs="宋体"/>
          <w:spacing w:val="-4"/>
          <w:sz w:val="24"/>
          <w:szCs w:val="24"/>
          <w:highlight w:val="none"/>
          <w:lang w:eastAsia="zh-CN"/>
        </w:rPr>
        <w:t>结合公司发展战略和经营管理实际，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制定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估值提升计划暨“提质增效重回报”行动方案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。</w:t>
      </w:r>
    </w:p>
    <w:p w14:paraId="25053EF4">
      <w:pPr>
        <w:pStyle w:val="4"/>
        <w:spacing w:before="0" w:line="560" w:lineRule="exact"/>
        <w:ind w:left="0" w:right="215" w:firstLine="480" w:firstLineChars="200"/>
        <w:jc w:val="both"/>
        <w:rPr>
          <w:rFonts w:cs="宋体"/>
          <w:highlight w:val="none"/>
          <w:lang w:eastAsia="zh-CN"/>
        </w:rPr>
      </w:pPr>
      <w:r>
        <w:rPr>
          <w:rFonts w:hint="eastAsia" w:cs="宋体"/>
          <w:highlight w:val="none"/>
          <w:lang w:eastAsia="zh-CN"/>
        </w:rPr>
        <w:t>（二）审议程序</w:t>
      </w:r>
    </w:p>
    <w:p w14:paraId="1F063195">
      <w:pPr>
        <w:pStyle w:val="4"/>
        <w:spacing w:before="0" w:line="560" w:lineRule="exact"/>
        <w:ind w:left="0" w:right="215" w:firstLine="480" w:firstLineChars="200"/>
        <w:jc w:val="both"/>
        <w:rPr>
          <w:rFonts w:cs="宋体"/>
          <w:highlight w:val="none"/>
          <w:lang w:eastAsia="zh-CN"/>
        </w:rPr>
      </w:pPr>
      <w:r>
        <w:rPr>
          <w:rFonts w:hint="eastAsia" w:cs="宋体"/>
          <w:highlight w:val="none"/>
          <w:lang w:eastAsia="zh-CN"/>
        </w:rPr>
        <w:t>公司董事会于2026年4月22日召开会议，审议通过了《江苏紫金农村商业银行股份有限公司估值提升计划暨“提质增效重回报”行动方案》。</w:t>
      </w:r>
    </w:p>
    <w:p w14:paraId="626CD9BA">
      <w:pPr>
        <w:pStyle w:val="3"/>
        <w:spacing w:line="560" w:lineRule="exact"/>
        <w:ind w:left="0" w:firstLine="48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二、估值提升计划暨“提质增效重回报”行动方案具体内容</w:t>
      </w:r>
    </w:p>
    <w:p w14:paraId="5E24B394">
      <w:pPr>
        <w:pStyle w:val="3"/>
        <w:spacing w:line="560" w:lineRule="exact"/>
        <w:ind w:left="0" w:firstLine="48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（一）服务国家战略，深耕实体经济</w:t>
      </w:r>
      <w:r>
        <w:rPr>
          <w:rFonts w:ascii="宋体" w:hAnsi="宋体" w:eastAsia="宋体" w:cs="宋体"/>
          <w:lang w:eastAsia="zh-CN"/>
        </w:rPr>
        <w:t xml:space="preserve"> </w:t>
      </w:r>
    </w:p>
    <w:p w14:paraId="64F0C5AF">
      <w:pPr>
        <w:pStyle w:val="3"/>
        <w:spacing w:line="560" w:lineRule="exact"/>
        <w:ind w:left="0" w:firstLine="480" w:firstLineChars="200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公司将始终高举习近平新时代中国特色社会主义思想伟大旗帜，深入贯彻党的二十大和二十届历次全会精神，坚持和加强党的全面领导，牢固树立以人民为中心的发展理念，坚持稳中求进工作总基调，以提升服务实体经济质效为重点，推进高质量发展。</w:t>
      </w:r>
    </w:p>
    <w:p w14:paraId="11E0FA5F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一是坚定服务实体经济。围绕重点领域，紧扣宏观政策导向，将业务发展深度融入国家与地方战略，坚持支农支小，持续推进做小做散赋能，加大普惠金融领域支持力度。强化客群分层经营能力，优化网格管理，强化平台支撑，提升服务质效。</w:t>
      </w:r>
    </w:p>
    <w:p w14:paraId="1E921F32">
      <w:pPr>
        <w:pStyle w:val="3"/>
        <w:spacing w:line="560" w:lineRule="exact"/>
        <w:ind w:left="0" w:firstLine="480" w:firstLineChars="200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二是推动经营管理精细化。优化考核体系，激发全员活力。深化增收节支，调优资产结构，深化费用管理，提升使用效益。完善价格管控，优化负债结构。</w:t>
      </w:r>
    </w:p>
    <w:p w14:paraId="5956A4BE">
      <w:pPr>
        <w:pStyle w:val="3"/>
        <w:spacing w:line="560" w:lineRule="exact"/>
        <w:ind w:left="0" w:firstLine="480" w:firstLineChars="200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三是持续强化风险管控。以系统化思维构建前瞻、智能、全面的风险管理体系，压实各条线风险防控责任。迎前管控信用风险，加强流动性风险、操作风险、声誉风险等各类风险管理。深化合规银行建设，开展常态化合规宣教，培育合规文化氛围。</w:t>
      </w:r>
    </w:p>
    <w:p w14:paraId="4AA5EF77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四是积极履行社会责任。牢固树立以人民为中心的发展思想，聚焦优化产品、提升服务，自觉担当惠民利民的责任和使命，加强“负责任银行”体系建设，深入贯彻ESG 发展理念，积极探索适合本行特点的社会责任履行方式。</w:t>
      </w:r>
    </w:p>
    <w:p w14:paraId="0DBF051C">
      <w:pPr>
        <w:pStyle w:val="3"/>
        <w:spacing w:line="560" w:lineRule="exact"/>
        <w:ind w:left="0" w:firstLine="48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（二）创新产品服务，赋能新质生产力</w:t>
      </w:r>
    </w:p>
    <w:p w14:paraId="598355AE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公司深化区域特色行业研究分析，推动业务发展与特色产业深度融合，主动对接高新技术产业、绿色低碳产业等战略性领域的中小微企业，以及先进制造业集群，创新产品和服务模式，赋能新质生产力发展。</w:t>
      </w:r>
    </w:p>
    <w:p w14:paraId="18A5D233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一是强化科创金融服务。培育新兴领域发展潜能，优化科技贷款产品，加大科技贷款投放力度，提升科技型中小微企业服务水平，促进“科技-产业-金融”良性循环，助力以科技创新引领现代化产业创新，促进新质生产力发展。</w:t>
      </w:r>
    </w:p>
    <w:p w14:paraId="7130D385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二是加速供应链金融布局。依托核心企业搭建链式荐客平台，深化供应链金融发展，打造产业集群金融服务方案。</w:t>
      </w:r>
    </w:p>
    <w:p w14:paraId="120E619D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三是深耕绿色金融。围绕我国“碳达峰、碳中和”的目标，强化绿色信贷理念，做好金融领域的绿色信贷服务工作。</w:t>
      </w:r>
    </w:p>
    <w:p w14:paraId="5D8686FE">
      <w:pPr>
        <w:pStyle w:val="3"/>
        <w:spacing w:line="560" w:lineRule="exact"/>
        <w:ind w:left="0" w:firstLine="48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（三）强化公司治理，提升治理质效</w:t>
      </w:r>
    </w:p>
    <w:p w14:paraId="549F49AC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坚持党的全面领导，深化党的领导与公司治理有机融合，全面落实党中央对金融工作的决策部署，充分发挥党委把方向、管大局、保落实的领导作用。完善公司治理机制，加强公司治理制度体系建设，进一步规范公司治理运作。持续完善董事会及各专门委员会工作机制，细化履职重点和履职要求，不断提升履职能力和水平。</w:t>
      </w:r>
    </w:p>
    <w:p w14:paraId="56108E1E">
      <w:pPr>
        <w:pStyle w:val="3"/>
        <w:spacing w:line="560" w:lineRule="exact"/>
        <w:ind w:left="0" w:firstLine="48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（四）聚焦“关键少数”，强化责任担当</w:t>
      </w:r>
    </w:p>
    <w:p w14:paraId="7DE9853A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highlight w:val="none"/>
          <w:lang w:eastAsia="zh-CN"/>
        </w:rPr>
        <w:t>制定董事、高管薪酬管理办法，落实绩效薪酬延期支付和追索扣回机制。强化董事履职，加大董事培训和调研力度，为科学决策提供实践支撑；及时传达监管要求，增强董事履职的前瞻性和有效性。</w:t>
      </w:r>
    </w:p>
    <w:p w14:paraId="15D91232">
      <w:pPr>
        <w:pStyle w:val="3"/>
        <w:spacing w:line="560" w:lineRule="exact"/>
        <w:ind w:left="0" w:firstLine="48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（五）重视投资者回报，共享高质量发展成果</w:t>
      </w:r>
    </w:p>
    <w:p w14:paraId="474A4A38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公司本着重视股东合理投资回报、同时兼顾合理资金需求的原则，平衡业务持续健康发展与股东综合回报二者间的关系，公司有意愿在盈利和资本充足率满足持续经营和长远发展的前提下，增强分红的稳定性、及时性和可预期性，充分维护股东依法享有投资收益的权利。</w:t>
      </w:r>
    </w:p>
    <w:p w14:paraId="7B13F164">
      <w:pPr>
        <w:pStyle w:val="3"/>
        <w:spacing w:line="560" w:lineRule="exact"/>
        <w:ind w:left="0" w:firstLine="48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（六）加强投资者关系管理，传递公司价值</w:t>
      </w:r>
    </w:p>
    <w:p w14:paraId="63426DAE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规范开展信息披露，根据信息披露相关规则要求，及时准确地完成年报、半年报等定期报告及临时公告的公开披露，确保投资者及时了解公司重大事项，充分保障广大投资者特别是中小投资者的合法权益。加强投资者关系管理，制定与投资者沟通交流的计划安排，积极举办业绩说明会，加强与投资者的沟通。</w:t>
      </w:r>
      <w:bookmarkStart w:id="0" w:name="_GoBack"/>
      <w:bookmarkEnd w:id="0"/>
    </w:p>
    <w:p w14:paraId="25185616">
      <w:pPr>
        <w:pStyle w:val="3"/>
        <w:spacing w:line="560" w:lineRule="exact"/>
        <w:ind w:left="0" w:firstLine="48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三、董事会对估值提升计划暨“提质增效重回报”行动方案的说明</w:t>
      </w:r>
    </w:p>
    <w:p w14:paraId="3AFE6A2D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董事会认为本次制定的《估值提升计划暨“提质增效重回报”行动方案》符合法律法规和《公司章程》的有关规定，符合公司的实际情况及发展规划，具备合理性和可行性，有助于进一步提高公司质量，不存在损害公司及全体股东特别是中小股东利益的情形。</w:t>
      </w:r>
    </w:p>
    <w:p w14:paraId="722AEACE">
      <w:pPr>
        <w:pStyle w:val="3"/>
        <w:spacing w:line="560" w:lineRule="exact"/>
        <w:ind w:left="0" w:firstLine="48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四、评估安排</w:t>
      </w:r>
    </w:p>
    <w:p w14:paraId="5741D28F">
      <w:pPr>
        <w:pStyle w:val="3"/>
        <w:spacing w:line="560" w:lineRule="exact"/>
        <w:ind w:left="0" w:firstLine="480" w:firstLineChars="200"/>
        <w:rPr>
          <w:rFonts w:ascii="宋体" w:hAnsi="宋体" w:eastAsia="宋体" w:cs="宋体"/>
          <w:b w:val="0"/>
          <w:bCs w:val="0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highlight w:val="none"/>
          <w:lang w:eastAsia="zh-CN"/>
        </w:rPr>
        <w:t>公司将按照监管要求对估值提升计划暨“提质增效重回报”行动方案的实施效果进行评估，评估后需要完善的，经董事会审议后披露。</w:t>
      </w:r>
    </w:p>
    <w:p w14:paraId="63DDA634">
      <w:pPr>
        <w:pStyle w:val="3"/>
        <w:spacing w:line="560" w:lineRule="exact"/>
        <w:ind w:left="0" w:firstLine="48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五、风险提示</w:t>
      </w:r>
    </w:p>
    <w:p w14:paraId="339AA322">
      <w:pPr>
        <w:pStyle w:val="4"/>
        <w:spacing w:before="0" w:line="560" w:lineRule="exact"/>
        <w:ind w:left="0" w:right="215" w:firstLine="480" w:firstLineChars="200"/>
        <w:jc w:val="both"/>
        <w:rPr>
          <w:rFonts w:cs="宋体"/>
          <w:lang w:eastAsia="zh-CN"/>
        </w:rPr>
      </w:pPr>
      <w:r>
        <w:rPr>
          <w:rFonts w:hint="eastAsia" w:cs="宋体"/>
          <w:lang w:eastAsia="zh-CN"/>
        </w:rPr>
        <w:t>本估值提升计划暨“提质增效重回报”行动方案仅为公司行动计划，不代表公司对业绩、股价、重大事件等任何指标或事项的承诺。公司业绩及二级市场表现受到宏观形势、行业政策、市场情况等诸多因素影响，相关目标的实现情况存在不确定性。敬请投资者理性投资，注意投资风险。</w:t>
      </w:r>
    </w:p>
    <w:p w14:paraId="720A3630">
      <w:pPr>
        <w:pStyle w:val="4"/>
        <w:spacing w:before="0" w:line="560" w:lineRule="exact"/>
        <w:ind w:left="0" w:right="215" w:firstLine="480" w:firstLineChars="200"/>
        <w:jc w:val="both"/>
        <w:rPr>
          <w:rFonts w:cs="宋体"/>
          <w:lang w:eastAsia="zh-CN"/>
        </w:rPr>
      </w:pPr>
      <w:r>
        <w:rPr>
          <w:rFonts w:hint="eastAsia" w:cs="宋体"/>
          <w:lang w:eastAsia="zh-CN"/>
        </w:rPr>
        <w:t>特此公告。</w:t>
      </w:r>
    </w:p>
    <w:p w14:paraId="02C5CEC2">
      <w:pPr>
        <w:pStyle w:val="4"/>
        <w:spacing w:before="0" w:line="560" w:lineRule="exact"/>
        <w:ind w:left="0" w:right="216" w:firstLine="480" w:firstLineChars="200"/>
        <w:jc w:val="right"/>
        <w:rPr>
          <w:rFonts w:cs="宋体"/>
          <w:lang w:eastAsia="zh-CN"/>
        </w:rPr>
      </w:pPr>
    </w:p>
    <w:p w14:paraId="57A62DB7">
      <w:pPr>
        <w:pStyle w:val="4"/>
        <w:spacing w:before="0" w:line="560" w:lineRule="exact"/>
        <w:ind w:left="0" w:right="216" w:firstLine="480" w:firstLineChars="200"/>
        <w:jc w:val="right"/>
        <w:rPr>
          <w:rFonts w:cs="宋体"/>
          <w:lang w:eastAsia="zh-CN"/>
        </w:rPr>
      </w:pPr>
      <w:r>
        <w:rPr>
          <w:rFonts w:hint="eastAsia" w:cs="宋体"/>
          <w:lang w:eastAsia="zh-CN"/>
        </w:rPr>
        <w:t>江苏紫金农村商业银行股份有限公司董事会</w:t>
      </w:r>
    </w:p>
    <w:p w14:paraId="2160216C">
      <w:pPr>
        <w:pStyle w:val="4"/>
        <w:spacing w:before="0" w:line="560" w:lineRule="exact"/>
        <w:ind w:left="0" w:right="216" w:firstLine="480" w:firstLineChars="200"/>
        <w:jc w:val="right"/>
        <w:rPr>
          <w:rFonts w:cs="宋体"/>
          <w:lang w:eastAsia="zh-CN"/>
        </w:rPr>
      </w:pPr>
      <w:r>
        <w:rPr>
          <w:rFonts w:hint="eastAsia" w:cs="宋体"/>
          <w:lang w:eastAsia="zh-CN"/>
        </w:rPr>
        <w:t>2026年4月22日</w:t>
      </w:r>
    </w:p>
    <w:sectPr>
      <w:footerReference r:id="rId3" w:type="default"/>
      <w:pgSz w:w="11910" w:h="16840"/>
      <w:pgMar w:top="1460" w:right="1580" w:bottom="1160" w:left="1680" w:header="0" w:footer="9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mbria">
    <w:altName w:val="ksdb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21B35">
    <w:pPr>
      <w:spacing w:line="14" w:lineRule="auto"/>
      <w:rPr>
        <w:sz w:val="20"/>
        <w:szCs w:val="20"/>
      </w:rPr>
    </w:pPr>
    <w:r>
      <w:rPr>
        <w:lang w:eastAsia="zh-CN"/>
      </w:rPr>
      <w:pict>
        <v:shape id="_x0000_s1026" o:spid="_x0000_s1026" o:spt="202" type="#_x0000_t202" style="position:absolute;left:0pt;margin-left:293.35pt;margin-top:782.3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/r73y2gAAAA0BAAAPAAAAAAAAAAEAIAAA&#10;ACIAAABkcnMvZG93bnJldi54bWxQSwECFAAUAAAACACHTuJAaR7JOQoCAAAEBAAADgAAAAAAAAAB&#10;ACAAAAApAQAAZHJzL2Uyb0RvYy54bWxQSwUGAAAAAAYABgBZAQAAp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FB05625">
                <w:pPr>
                  <w:spacing w:line="203" w:lineRule="exact"/>
                  <w:ind w:left="40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DCE"/>
    <w:rsid w:val="000061DD"/>
    <w:rsid w:val="0002391D"/>
    <w:rsid w:val="000276EF"/>
    <w:rsid w:val="000435D1"/>
    <w:rsid w:val="00083C33"/>
    <w:rsid w:val="000B2990"/>
    <w:rsid w:val="000B3A76"/>
    <w:rsid w:val="00124B76"/>
    <w:rsid w:val="00141805"/>
    <w:rsid w:val="001519F4"/>
    <w:rsid w:val="00162692"/>
    <w:rsid w:val="00163B16"/>
    <w:rsid w:val="00173367"/>
    <w:rsid w:val="001F120B"/>
    <w:rsid w:val="001F750D"/>
    <w:rsid w:val="0020169B"/>
    <w:rsid w:val="00243BFF"/>
    <w:rsid w:val="00251E29"/>
    <w:rsid w:val="002D1C5A"/>
    <w:rsid w:val="00311865"/>
    <w:rsid w:val="003B0A19"/>
    <w:rsid w:val="003B6411"/>
    <w:rsid w:val="003F30C4"/>
    <w:rsid w:val="00460D6B"/>
    <w:rsid w:val="0046326F"/>
    <w:rsid w:val="004751BA"/>
    <w:rsid w:val="005B4689"/>
    <w:rsid w:val="005D7FF7"/>
    <w:rsid w:val="006045B9"/>
    <w:rsid w:val="0063767F"/>
    <w:rsid w:val="00680EF7"/>
    <w:rsid w:val="007016A9"/>
    <w:rsid w:val="00756E9B"/>
    <w:rsid w:val="0076686C"/>
    <w:rsid w:val="007C0F32"/>
    <w:rsid w:val="007D28A4"/>
    <w:rsid w:val="007E3B1C"/>
    <w:rsid w:val="0084117E"/>
    <w:rsid w:val="008606D1"/>
    <w:rsid w:val="008B61FC"/>
    <w:rsid w:val="008C2293"/>
    <w:rsid w:val="008F3925"/>
    <w:rsid w:val="008F761E"/>
    <w:rsid w:val="009208AA"/>
    <w:rsid w:val="009A1607"/>
    <w:rsid w:val="009B4CB9"/>
    <w:rsid w:val="009D1D2D"/>
    <w:rsid w:val="009E376E"/>
    <w:rsid w:val="00A37502"/>
    <w:rsid w:val="00A44E59"/>
    <w:rsid w:val="00A92A78"/>
    <w:rsid w:val="00AB0DCE"/>
    <w:rsid w:val="00B10BD2"/>
    <w:rsid w:val="00B22002"/>
    <w:rsid w:val="00B262AD"/>
    <w:rsid w:val="00B455AF"/>
    <w:rsid w:val="00B51BFB"/>
    <w:rsid w:val="00BB1ADB"/>
    <w:rsid w:val="00BB69DF"/>
    <w:rsid w:val="00BF68DE"/>
    <w:rsid w:val="00C17FA0"/>
    <w:rsid w:val="00C72A19"/>
    <w:rsid w:val="00CA7AC8"/>
    <w:rsid w:val="00DB4A81"/>
    <w:rsid w:val="00DB6F01"/>
    <w:rsid w:val="00DC2DE1"/>
    <w:rsid w:val="00E17FE2"/>
    <w:rsid w:val="00E50722"/>
    <w:rsid w:val="00F10447"/>
    <w:rsid w:val="00F65C34"/>
    <w:rsid w:val="00F86098"/>
    <w:rsid w:val="03B2751E"/>
    <w:rsid w:val="098A684D"/>
    <w:rsid w:val="0C755EF1"/>
    <w:rsid w:val="0DB30078"/>
    <w:rsid w:val="109930D0"/>
    <w:rsid w:val="136278DA"/>
    <w:rsid w:val="139513AE"/>
    <w:rsid w:val="15DB2D44"/>
    <w:rsid w:val="18F11B7B"/>
    <w:rsid w:val="19AE5F1B"/>
    <w:rsid w:val="1D804DF1"/>
    <w:rsid w:val="20DB5665"/>
    <w:rsid w:val="225C42C2"/>
    <w:rsid w:val="23F3275F"/>
    <w:rsid w:val="240A7386"/>
    <w:rsid w:val="25D3683F"/>
    <w:rsid w:val="26920708"/>
    <w:rsid w:val="27BD063F"/>
    <w:rsid w:val="287E6335"/>
    <w:rsid w:val="29E22543"/>
    <w:rsid w:val="2B253DDD"/>
    <w:rsid w:val="2E7C7812"/>
    <w:rsid w:val="32767059"/>
    <w:rsid w:val="338A5133"/>
    <w:rsid w:val="339E7474"/>
    <w:rsid w:val="38766CAF"/>
    <w:rsid w:val="387A56B5"/>
    <w:rsid w:val="38826345"/>
    <w:rsid w:val="39D620EE"/>
    <w:rsid w:val="3CE16532"/>
    <w:rsid w:val="3DB114C5"/>
    <w:rsid w:val="40FB31AB"/>
    <w:rsid w:val="445E2538"/>
    <w:rsid w:val="464A0DDF"/>
    <w:rsid w:val="471622FC"/>
    <w:rsid w:val="49D16F4E"/>
    <w:rsid w:val="4AFC08E6"/>
    <w:rsid w:val="4B2B3E60"/>
    <w:rsid w:val="4D39613E"/>
    <w:rsid w:val="4F4971A3"/>
    <w:rsid w:val="4F7E0A85"/>
    <w:rsid w:val="51CC21AB"/>
    <w:rsid w:val="573665EA"/>
    <w:rsid w:val="57A859DE"/>
    <w:rsid w:val="58C625B2"/>
    <w:rsid w:val="58D216A9"/>
    <w:rsid w:val="598516EC"/>
    <w:rsid w:val="5A3F064F"/>
    <w:rsid w:val="5ACA0078"/>
    <w:rsid w:val="5AD369FC"/>
    <w:rsid w:val="5BA004DC"/>
    <w:rsid w:val="5D05483E"/>
    <w:rsid w:val="5E0821D5"/>
    <w:rsid w:val="5E533842"/>
    <w:rsid w:val="5FE252DE"/>
    <w:rsid w:val="64FF7A9F"/>
    <w:rsid w:val="65584272"/>
    <w:rsid w:val="6ABF73B0"/>
    <w:rsid w:val="6BF10A27"/>
    <w:rsid w:val="6D157673"/>
    <w:rsid w:val="6DAB327B"/>
    <w:rsid w:val="6DDB238F"/>
    <w:rsid w:val="6FED2530"/>
    <w:rsid w:val="72D72495"/>
    <w:rsid w:val="78A029F4"/>
    <w:rsid w:val="78F341AE"/>
    <w:rsid w:val="7BB53C08"/>
    <w:rsid w:val="7BDF3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2"/>
    <w:qFormat/>
    <w:uiPriority w:val="1"/>
    <w:pPr>
      <w:ind w:left="600" w:firstLine="2"/>
      <w:outlineLvl w:val="0"/>
    </w:pPr>
    <w:rPr>
      <w:rFonts w:ascii="Microsoft JhengHei" w:hAnsi="Microsoft JhengHei" w:eastAsia="Microsoft JhengHei"/>
      <w:b/>
      <w:bCs/>
      <w:sz w:val="24"/>
      <w:szCs w:val="24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60" w:after="60"/>
      <w:outlineLvl w:val="3"/>
    </w:pPr>
    <w:rPr>
      <w:rFonts w:ascii="Cambria" w:hAnsi="Cambria" w:cs="Times New Roman"/>
      <w:b/>
      <w:bCs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1"/>
    <w:pPr>
      <w:spacing w:before="126"/>
      <w:ind w:left="120"/>
    </w:pPr>
    <w:rPr>
      <w:rFonts w:ascii="宋体" w:hAnsi="宋体" w:eastAsia="宋体"/>
      <w:sz w:val="24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3"/>
    <w:qFormat/>
    <w:uiPriority w:val="1"/>
    <w:rPr>
      <w:rFonts w:ascii="Microsoft JhengHei" w:hAnsi="Microsoft JhengHei" w:eastAsia="Microsoft JhengHei"/>
      <w:b/>
      <w:bCs/>
      <w:kern w:val="0"/>
      <w:sz w:val="24"/>
      <w:szCs w:val="24"/>
      <w:lang w:eastAsia="en-US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正文文本 Char"/>
    <w:basedOn w:val="9"/>
    <w:link w:val="4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paragraph" w:customStyle="1" w:styleId="15">
    <w:name w:val="Table Paragraph"/>
    <w:basedOn w:val="1"/>
    <w:qFormat/>
    <w:uiPriority w:val="1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18">
    <w:name w:val="批注框文本 Char"/>
    <w:basedOn w:val="9"/>
    <w:link w:val="5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19">
    <w:name w:val="p0"/>
    <w:basedOn w:val="1"/>
    <w:qFormat/>
    <w:uiPriority w:val="0"/>
    <w:pPr>
      <w:widowControl/>
    </w:pPr>
    <w:rPr>
      <w:rFonts w:ascii="Book Antiqua" w:hAnsi="Book Antiqua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2768</Words>
  <Characters>2805</Characters>
  <Lines>24</Lines>
  <Paragraphs>6</Paragraphs>
  <TotalTime>19</TotalTime>
  <ScaleCrop>false</ScaleCrop>
  <LinksUpToDate>false</LinksUpToDate>
  <CharactersWithSpaces>2831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2025-03-21T02:33:00Z</dcterms:created>
  <dc:creator>lenovo</dc:creator>
  <cp:lastModifiedBy>WPS_1625791870</cp:lastModifiedBy>
  <cp:lastPrinted>2025-04-02T08:09:00Z</cp:lastPrinted>
  <dcterms:modified xsi:type="dcterms:W3CDTF">2026-04-23T08:34:07Z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0DEF3B09904E482F9FA40D16AAC5C7FB</vt:lpwstr>
  </property>
  <property fmtid="{D5CDD505-2E9C-101B-9397-08002B2CF9AE}" pid="4" name="KSOTemplateDocerSaveRecord">
    <vt:lpwstr>eyJoZGlkIjoiYWEyMzEyZjZhMzcxZjhlYzIwMDU2ZWYxYzU4NTZkM2YiLCJ1c2VySWQiOiIxMjMxNDkzNDE3In0=</vt:lpwstr>
  </property>
</Properties>
</file>