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214E4">
      <w:pPr>
        <w:pStyle w:val="4"/>
        <w:spacing w:line="600" w:lineRule="exact"/>
        <w:ind w:left="0" w:firstLine="0"/>
        <w:jc w:val="center"/>
        <w:rPr>
          <w:rFonts w:ascii="华文中宋" w:hAnsi="华文中宋" w:eastAsia="华文中宋" w:cs="华文中宋"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lang w:eastAsia="zh-CN"/>
        </w:rPr>
        <w:t>江苏紫金农村商业银行股份有限公司2025年度</w:t>
      </w:r>
    </w:p>
    <w:p w14:paraId="418E3E57">
      <w:pPr>
        <w:pStyle w:val="4"/>
        <w:spacing w:line="600" w:lineRule="exact"/>
        <w:ind w:left="0" w:firstLine="0"/>
        <w:jc w:val="center"/>
        <w:rPr>
          <w:rFonts w:ascii="华文中宋" w:hAnsi="华文中宋" w:eastAsia="华文中宋" w:cs="华文中宋"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lang w:eastAsia="zh-CN"/>
        </w:rPr>
        <w:t>估值提升计划暨“提质增效重回报”行动方案评估报告</w:t>
      </w:r>
    </w:p>
    <w:p w14:paraId="0EFAA202">
      <w:pPr>
        <w:pStyle w:val="4"/>
        <w:spacing w:line="367" w:lineRule="exact"/>
        <w:ind w:left="702" w:firstLine="0"/>
        <w:rPr>
          <w:rFonts w:ascii="宋体" w:hAnsi="宋体" w:eastAsia="宋体" w:cs="宋体"/>
          <w:lang w:eastAsia="zh-CN"/>
        </w:rPr>
      </w:pPr>
    </w:p>
    <w:p w14:paraId="5ADC6A00">
      <w:pPr>
        <w:shd w:val="clear" w:color="auto" w:fill="FFFFFF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江苏紫金农村商业银行股份有限公司（以下简称“公司”）积极响应监管要求，结合自身发展战略和经营情况，制定了2025年度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估值提升计划暨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“提质增效重回报”行动方案（详见上海证券交易所网站），现将执行评估情况报告如下：</w:t>
      </w:r>
    </w:p>
    <w:p w14:paraId="7C2FDA70">
      <w:pPr>
        <w:shd w:val="clear" w:color="auto" w:fill="FFFFFF"/>
        <w:spacing w:line="560" w:lineRule="exact"/>
        <w:ind w:firstLine="643" w:firstLineChars="200"/>
        <w:jc w:val="both"/>
        <w:rPr>
          <w:rFonts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一、服务国家战略,聚焦主责主业</w:t>
      </w:r>
    </w:p>
    <w:p w14:paraId="5B32155C">
      <w:pPr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司积极践行金融工作的政治性和人民性，坚持支农支小，推动服务实体经济取得显著成效。截至2025年末，截至2025年末，总资产2903.43亿元，增幅7.56%。存款余额2245.00亿元，增幅6.92%。贷款余额1949.07亿元，增幅3.21%。涉农及小微贷款占比较年初持续提升。</w:t>
      </w:r>
    </w:p>
    <w:p w14:paraId="6E0AF18A">
      <w:pPr>
        <w:adjustRightInd w:val="0"/>
        <w:snapToGrid w:val="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司坚持支农支小支实的市场定位，塑优做小做散体制机制，加大重点领域的信贷支持，不断增强金融服务实体经济能力。深耕“三农”小微客群，深入推进网格化营销，坚定落实做小做散赋能方案，持续加大普惠金融领域支持力度。科学制定信贷投放计划，合理调整信贷结构，提升实体贷款占比。优化资产负债结构，聚焦自主获客营销，中收能力稳步增强。全力支持乡村振兴战略，聚焦新型农业经营主体金融供给，提升农村金融服务的覆盖率、可得性和便利度。荣获2025年度普惠金融服务银行天玑奖、市级“民营企业最满意银行”等荣誉，连续四年荣获江苏资本市场峰会“ESG金茉莉奖”。</w:t>
      </w:r>
    </w:p>
    <w:p w14:paraId="317111A7">
      <w:pPr>
        <w:adjustRightInd w:val="0"/>
        <w:snapToGrid w:val="0"/>
        <w:spacing w:line="560" w:lineRule="exact"/>
        <w:ind w:firstLine="643" w:firstLineChars="200"/>
        <w:jc w:val="both"/>
        <w:rPr>
          <w:rFonts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二、创新产品服务，赋能新质生产力</w:t>
      </w:r>
    </w:p>
    <w:p w14:paraId="6CCB4729">
      <w:pPr>
        <w:adjustRightInd w:val="0"/>
        <w:snapToGrid w:val="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司大力支持先进制造业集群和战略性新兴产业中的小企业发展，培育新兴领域发展潜能，创新产品和服务模式，优化“结算易贷”服务方案，推出“民营信用贷”产品，为做小做散提供政策赋能和产品支撑；制定科创金融实施工作方案，用活“苏科贷”“苏知贷”“专精特新贷”等配套产品，提升科技型中小微企业服务水平；在乡村振兴方面，打造一批以“金陵惠农系列”产品为主的涉农贷款产品体系；加速供应链金融布局，依托核心企业搭建链式荐客平台，为上下游中小微链属客户提供融资、结算、代发、理财等综合服务；深化区域特色行业研究分析，推动业务发展与特色产业深度融合，主动对接高新技术产业、绿色低碳产业等战略性领域的中小微企业，以及先进制造业集群，创新产品和服务模式，赋能新质生产力发展。</w:t>
      </w:r>
    </w:p>
    <w:p w14:paraId="62708DD4">
      <w:pPr>
        <w:adjustRightInd w:val="0"/>
        <w:snapToGrid w:val="0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司积极开展数字金融建设，以数字化转型驱动金融服务提质增效，聚焦科技创新、营销赋能、合规风控、系统融合，夯实数据底座，提升研发和管理效能，为业务高质量发展提供有力支撑。同时，加强风险前置管理，发挥风险、合规、审计协同监督作用，筑牢风险防线，组建数字风控团队，强化智能风控能力建设。</w:t>
      </w:r>
    </w:p>
    <w:p w14:paraId="362D37FE">
      <w:pPr>
        <w:spacing w:line="560" w:lineRule="exact"/>
        <w:ind w:firstLine="643" w:firstLineChars="200"/>
        <w:jc w:val="both"/>
        <w:rPr>
          <w:rFonts w:ascii="FangSong_GB2312" w:hAnsi="FangSong_GB2312" w:eastAsia="FangSong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三、</w:t>
      </w:r>
      <w:r>
        <w:rPr>
          <w:rFonts w:hint="eastAsia" w:ascii="FangSong_GB2312" w:hAnsi="FangSong_GB2312" w:eastAsia="FangSong_GB2312"/>
          <w:b/>
          <w:bCs/>
          <w:sz w:val="32"/>
          <w:szCs w:val="32"/>
          <w:lang w:eastAsia="zh-CN"/>
        </w:rPr>
        <w:t>坚持党建引领，提升公司治理水平</w:t>
      </w:r>
    </w:p>
    <w:p w14:paraId="61E4A80C">
      <w:pPr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eastAsia="zh-CN"/>
        </w:rPr>
        <w:t>坚持党的全面领导，实行“双向进入，交叉任职”</w:t>
      </w:r>
      <w:r>
        <w:rPr>
          <w:rFonts w:hint="eastAsia" w:ascii="仿宋_GB2312" w:eastAsia="仿宋_GB2312" w:cs="Times New Roman"/>
          <w:kern w:val="2"/>
          <w:sz w:val="32"/>
          <w:szCs w:val="32"/>
          <w:lang w:eastAsia="zh-CN"/>
        </w:rPr>
        <w:t>领导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eastAsia="zh-CN"/>
        </w:rPr>
        <w:t>体制，严格执行党委研究讨论前置程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序，有效发挥党委把方向、管大局、保落实作用。</w:t>
      </w:r>
    </w:p>
    <w:p w14:paraId="4BE11DA1">
      <w:pPr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完善公司治理制度，修订《章程》《股东会议事规则》《董事会议事规则》《股权管理办法》等制度，梳理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印发股东会对董事会授权书、董事会对行长授权书及董事会对各专门委员会授权书，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进一步明晰各治理主体的权责权限，构建较为完善的逐层议事和授权体系。</w:t>
      </w:r>
    </w:p>
    <w:p w14:paraId="0C1EB980">
      <w:pPr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有序推进会务工作，</w:t>
      </w:r>
      <w:r>
        <w:rPr>
          <w:rFonts w:hint="eastAsia" w:ascii="仿宋_GB2312" w:eastAsia="仿宋_GB2312"/>
          <w:sz w:val="32"/>
          <w:szCs w:val="32"/>
          <w:lang w:eastAsia="zh-CN"/>
        </w:rPr>
        <w:t>根据章程规定，结合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实际工作需要，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依法召集股东大会，及时召开董事会及各专门委员会会议</w:t>
      </w:r>
      <w:r>
        <w:rPr>
          <w:rFonts w:hint="eastAsia" w:ascii="仿宋_GB2312" w:eastAsia="仿宋_GB2312"/>
          <w:sz w:val="32"/>
          <w:szCs w:val="32"/>
          <w:lang w:eastAsia="zh-CN"/>
        </w:rPr>
        <w:t>。2025年，共组织召开各类会议34次，听取、审议、报备议案及报告共340余项。</w:t>
      </w:r>
    </w:p>
    <w:p w14:paraId="15546817">
      <w:pPr>
        <w:pStyle w:val="23"/>
        <w:numPr>
          <w:ilvl w:val="0"/>
          <w:numId w:val="1"/>
        </w:numPr>
        <w:adjustRightInd w:val="0"/>
        <w:snapToGrid w:val="0"/>
        <w:spacing w:line="560" w:lineRule="exact"/>
        <w:ind w:left="0" w:firstLine="683" w:firstLineChars="200"/>
        <w:jc w:val="both"/>
        <w:rPr>
          <w:rFonts w:hint="default" w:ascii="仿宋_GB2312" w:hAnsi="仿宋_GB2312" w:eastAsia="仿宋_GB2312" w:cs="仿宋_GB2312"/>
          <w:b/>
          <w:bCs/>
          <w:szCs w:val="32"/>
        </w:rPr>
      </w:pPr>
      <w:r>
        <w:rPr>
          <w:rFonts w:ascii="仿宋_GB2312" w:hAnsi="仿宋_GB2312" w:eastAsia="仿宋_GB2312" w:cs="仿宋_GB2312"/>
          <w:b/>
          <w:bCs/>
          <w:szCs w:val="32"/>
        </w:rPr>
        <w:t>聚焦“关键少数”，强化责任担当</w:t>
      </w:r>
    </w:p>
    <w:p w14:paraId="5A579F7D">
      <w:pPr>
        <w:pStyle w:val="10"/>
        <w:spacing w:line="560" w:lineRule="exact"/>
        <w:ind w:firstLine="640"/>
        <w:jc w:val="both"/>
        <w:rPr>
          <w:rFonts w:ascii="仿宋_GB2312" w:hAnsi="仿宋_GB2312" w:eastAsia="仿宋_GB2312" w:cs="仿宋_GB2312"/>
          <w:b w:val="0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szCs w:val="32"/>
          <w:lang w:eastAsia="zh-CN"/>
        </w:rPr>
        <w:t>公司制定《员工薪酬管理办法》《董事薪酬管理制度》《高级管理人员绩效评价办法》《绩效薪酬延期支付管理办法》等薪酬办法，薪酬办法中对于适用范围、薪酬构成、薪酬支付等内容都进行了详细的规定。公司严格落实绩效薪酬延期支付和追索扣回机制，明确规定了绩效薪酬延期支付对象和扣缴比例、延期支付的追索及扣回等各种情形。</w:t>
      </w:r>
    </w:p>
    <w:p w14:paraId="424EC3EF">
      <w:pPr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司持续强化董事履职，加大董事调研培训力度，围绕战略规划、小微金融、数据风控、消费者权益保护等课题，组织董事赴同业、分（支）行开展现场调研。加强公司法、反洗钱等专业知识培训，组织董事参加监管部门、上海证券交易所等举办的各类培训，及时传达监管工作要求，不断增强董事履职能力。</w:t>
      </w:r>
    </w:p>
    <w:p w14:paraId="1A16D8BD">
      <w:pPr>
        <w:ind w:firstLine="640"/>
        <w:rPr>
          <w:lang w:eastAsia="zh-CN"/>
        </w:rPr>
      </w:pPr>
    </w:p>
    <w:p w14:paraId="260D2B81">
      <w:pPr>
        <w:pStyle w:val="23"/>
        <w:adjustRightInd w:val="0"/>
        <w:snapToGrid w:val="0"/>
        <w:spacing w:line="560" w:lineRule="exact"/>
        <w:ind w:left="0" w:firstLine="683" w:firstLineChars="200"/>
        <w:jc w:val="both"/>
        <w:rPr>
          <w:rFonts w:hint="default" w:ascii="仿宋_GB2312" w:hAnsi="仿宋_GB2312" w:eastAsia="仿宋_GB2312" w:cs="仿宋_GB2312"/>
          <w:b/>
          <w:bCs/>
          <w:szCs w:val="32"/>
        </w:rPr>
      </w:pPr>
      <w:r>
        <w:rPr>
          <w:rFonts w:ascii="仿宋_GB2312" w:hAnsi="仿宋_GB2312" w:eastAsia="仿宋_GB2312" w:cs="仿宋_GB2312"/>
          <w:b/>
          <w:bCs/>
          <w:szCs w:val="32"/>
        </w:rPr>
        <w:t>五、持续稳定分红，重视投资者回报</w:t>
      </w:r>
    </w:p>
    <w:p w14:paraId="7448F560">
      <w:pPr>
        <w:shd w:val="clear" w:color="auto" w:fill="FFFFFF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司的利润分配重视对投资者的合理回报并兼顾公司的可持续发展，结合公司的盈利情况和业务未来发展战略的实际需要，建立对投资者持续、稳定的回报机制。公司于2025年5月20日召开2024年年度股东大会，审议通过了《关于2024年度利润分配方案的议案》，并于2025年6月实施完毕。2024 年年度股东大会审议通过了《关于2025年中期分红安排的议案》，董事会根据股东大会授权，在符合监管要求和利润分配的条件下制定具体的中期分红方案，并于2026年1月实施完毕。</w:t>
      </w:r>
    </w:p>
    <w:p w14:paraId="101F9726">
      <w:pPr>
        <w:shd w:val="clear" w:color="auto" w:fill="FFFFFF"/>
        <w:spacing w:line="560" w:lineRule="exact"/>
        <w:ind w:firstLine="643" w:firstLineChars="200"/>
        <w:jc w:val="both"/>
        <w:rPr>
          <w:rFonts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六、加强投资者沟通，传递公司价值</w:t>
      </w:r>
    </w:p>
    <w:p w14:paraId="7E753790">
      <w:pPr>
        <w:shd w:val="clear" w:color="auto" w:fill="FFFFFF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信息披露相关规则要求，切实履行上市公司的信息披露义务，及时准确地完成年度报告、半年度报告、季度报告等定期报告及临时公告的公开披露，不断优化信息披露内容及形式，让投资者及时、全面了解公司经营情况。</w:t>
      </w:r>
    </w:p>
    <w:p w14:paraId="123E6806">
      <w:pPr>
        <w:shd w:val="clear" w:color="auto" w:fill="FFFFFF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司积极开展投资者关系管理工作，与各类投资者、分析师保持良好沟通，力求全面、客观地向市场传递公司信息，通过多层次的投资互动交流平台，积极维护公司在资本市场的良好形象。2025年度，公司召开季度、半年度、年度业绩说明会3次，积极开展投资者调研活动，接待对象覆盖主要机构单位，通过上证e互动平台解答投资者疑问，增进投资者交流，提升品牌形象。</w:t>
      </w:r>
    </w:p>
    <w:p w14:paraId="327E8D7F">
      <w:pPr>
        <w:shd w:val="clear" w:color="auto" w:fill="FFFFFF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lang w:eastAsia="zh-CN"/>
        </w:rPr>
      </w:pPr>
    </w:p>
    <w:sectPr>
      <w:footerReference r:id="rId3" w:type="default"/>
      <w:pgSz w:w="11910" w:h="16840"/>
      <w:pgMar w:top="1460" w:right="1580" w:bottom="1160" w:left="1680" w:header="0" w:footer="97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Cambria">
    <w:altName w:val="ksdb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2000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00"/>
    <w:family w:val="roman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24B819">
    <w:pPr>
      <w:spacing w:line="14" w:lineRule="auto"/>
      <w:rPr>
        <w:sz w:val="20"/>
        <w:szCs w:val="20"/>
      </w:rPr>
    </w:pPr>
    <w:r>
      <w:rPr>
        <w:lang w:eastAsia="zh-CN"/>
      </w:rPr>
      <w:pict>
        <v:shape id="_x0000_s1026" o:spid="_x0000_s1026" o:spt="202" type="#_x0000_t202" style="position:absolute;left:0pt;margin-left:293.35pt;margin-top:782.3pt;height:11pt;width:8.6pt;mso-position-horizontal-relative:page;mso-position-vertical-relative:page;z-index:-251657216;mso-width-relative:page;mso-height-relative:page;" filled="f" stroked="f" coordsize="21600,21600" o:gfxdata="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/r73y2gAAAA0BAAAPAAAAAAAAAAEAIAAA&#10;ACIAAABkcnMvZG93bnJldi54bWxQSwECFAAUAAAACACHTuJAaR7JOQoCAAAEBAAADgAAAAAAAAAB&#10;ACAAAAApAQAAZHJzL2Uyb0RvYy54bWxQSwUGAAAAAAYABgBZAQAApQUAAAAA&#10;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1BEFE7E4">
                <w:pPr>
                  <w:spacing w:line="203" w:lineRule="exact"/>
                  <w:ind w:left="40"/>
                  <w:rPr>
                    <w:rFonts w:ascii="Calibri" w:hAnsi="Calibri" w:eastAsia="Calibri" w:cs="Calibri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sz w:val="18"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77E786"/>
    <w:multiLevelType w:val="singleLevel"/>
    <w:tmpl w:val="4B77E78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AB0DCE"/>
    <w:rsid w:val="000061DD"/>
    <w:rsid w:val="0002391D"/>
    <w:rsid w:val="000276EF"/>
    <w:rsid w:val="000435D1"/>
    <w:rsid w:val="00083C33"/>
    <w:rsid w:val="000B2990"/>
    <w:rsid w:val="000B3A76"/>
    <w:rsid w:val="00124B76"/>
    <w:rsid w:val="00141805"/>
    <w:rsid w:val="001519F4"/>
    <w:rsid w:val="00162692"/>
    <w:rsid w:val="00163B16"/>
    <w:rsid w:val="00173367"/>
    <w:rsid w:val="001F120B"/>
    <w:rsid w:val="001F750D"/>
    <w:rsid w:val="0020169B"/>
    <w:rsid w:val="00243BFF"/>
    <w:rsid w:val="00251E29"/>
    <w:rsid w:val="002D1C5A"/>
    <w:rsid w:val="00311865"/>
    <w:rsid w:val="003B0A19"/>
    <w:rsid w:val="003B6411"/>
    <w:rsid w:val="003F30C4"/>
    <w:rsid w:val="00460D6B"/>
    <w:rsid w:val="004751BA"/>
    <w:rsid w:val="00493D1C"/>
    <w:rsid w:val="0050247C"/>
    <w:rsid w:val="005B4689"/>
    <w:rsid w:val="005D7FF7"/>
    <w:rsid w:val="006045B9"/>
    <w:rsid w:val="0063767F"/>
    <w:rsid w:val="00680EF7"/>
    <w:rsid w:val="00704336"/>
    <w:rsid w:val="00742B2A"/>
    <w:rsid w:val="00756E9B"/>
    <w:rsid w:val="0076686C"/>
    <w:rsid w:val="007C0F32"/>
    <w:rsid w:val="007D28A4"/>
    <w:rsid w:val="007E3B1C"/>
    <w:rsid w:val="0084117E"/>
    <w:rsid w:val="008606D1"/>
    <w:rsid w:val="008B61FC"/>
    <w:rsid w:val="008C2293"/>
    <w:rsid w:val="008F3925"/>
    <w:rsid w:val="008F761E"/>
    <w:rsid w:val="009208AA"/>
    <w:rsid w:val="009A1607"/>
    <w:rsid w:val="009B4CB9"/>
    <w:rsid w:val="009D1D2D"/>
    <w:rsid w:val="009E376E"/>
    <w:rsid w:val="00A37502"/>
    <w:rsid w:val="00A44E59"/>
    <w:rsid w:val="00A92A78"/>
    <w:rsid w:val="00AB0DCE"/>
    <w:rsid w:val="00AD27E6"/>
    <w:rsid w:val="00B10BD2"/>
    <w:rsid w:val="00B262AD"/>
    <w:rsid w:val="00B455AF"/>
    <w:rsid w:val="00B51BFB"/>
    <w:rsid w:val="00BB1ADB"/>
    <w:rsid w:val="00BB69DF"/>
    <w:rsid w:val="00BF68DE"/>
    <w:rsid w:val="00C17FA0"/>
    <w:rsid w:val="00C72A19"/>
    <w:rsid w:val="00CA7AC8"/>
    <w:rsid w:val="00DB4A81"/>
    <w:rsid w:val="00DC2DE1"/>
    <w:rsid w:val="00E17FE2"/>
    <w:rsid w:val="00E50722"/>
    <w:rsid w:val="00F10447"/>
    <w:rsid w:val="00F65C34"/>
    <w:rsid w:val="00F86098"/>
    <w:rsid w:val="015A1949"/>
    <w:rsid w:val="02B2797C"/>
    <w:rsid w:val="04F85637"/>
    <w:rsid w:val="08E858AD"/>
    <w:rsid w:val="09DD1183"/>
    <w:rsid w:val="10216504"/>
    <w:rsid w:val="139513AE"/>
    <w:rsid w:val="15250458"/>
    <w:rsid w:val="186D2140"/>
    <w:rsid w:val="19425955"/>
    <w:rsid w:val="1A092647"/>
    <w:rsid w:val="1A661FA5"/>
    <w:rsid w:val="1E5076F6"/>
    <w:rsid w:val="1EB1029B"/>
    <w:rsid w:val="1EDB2EB0"/>
    <w:rsid w:val="1F932B36"/>
    <w:rsid w:val="20DB5665"/>
    <w:rsid w:val="21DE0F1E"/>
    <w:rsid w:val="232A4213"/>
    <w:rsid w:val="23F3275F"/>
    <w:rsid w:val="24F14CA9"/>
    <w:rsid w:val="25B4606C"/>
    <w:rsid w:val="25CB546F"/>
    <w:rsid w:val="27A45517"/>
    <w:rsid w:val="27BD063F"/>
    <w:rsid w:val="28235E4A"/>
    <w:rsid w:val="287E6335"/>
    <w:rsid w:val="29020CD6"/>
    <w:rsid w:val="295D42CA"/>
    <w:rsid w:val="2ACC1D0C"/>
    <w:rsid w:val="2AD16EEA"/>
    <w:rsid w:val="2B1E677B"/>
    <w:rsid w:val="2C4D1BB1"/>
    <w:rsid w:val="2ECF4C5A"/>
    <w:rsid w:val="2F363704"/>
    <w:rsid w:val="2F436F36"/>
    <w:rsid w:val="2F4862FA"/>
    <w:rsid w:val="2FC077E6"/>
    <w:rsid w:val="3032350F"/>
    <w:rsid w:val="30503E51"/>
    <w:rsid w:val="31236D85"/>
    <w:rsid w:val="31A46800"/>
    <w:rsid w:val="33C67C80"/>
    <w:rsid w:val="34861C58"/>
    <w:rsid w:val="36645FCA"/>
    <w:rsid w:val="38226C08"/>
    <w:rsid w:val="384F12A3"/>
    <w:rsid w:val="38593A64"/>
    <w:rsid w:val="38766CAF"/>
    <w:rsid w:val="392F3A10"/>
    <w:rsid w:val="3A4E4336"/>
    <w:rsid w:val="3ADA779E"/>
    <w:rsid w:val="3B730AF8"/>
    <w:rsid w:val="3BE32D79"/>
    <w:rsid w:val="3CE16532"/>
    <w:rsid w:val="3D563E24"/>
    <w:rsid w:val="40F847A5"/>
    <w:rsid w:val="4139520E"/>
    <w:rsid w:val="44516AA5"/>
    <w:rsid w:val="44E0760E"/>
    <w:rsid w:val="452C1C8C"/>
    <w:rsid w:val="471622FC"/>
    <w:rsid w:val="482F5718"/>
    <w:rsid w:val="48C32E37"/>
    <w:rsid w:val="4A64791A"/>
    <w:rsid w:val="4A6D4271"/>
    <w:rsid w:val="4B2B3E60"/>
    <w:rsid w:val="4B8E3F04"/>
    <w:rsid w:val="4D39613E"/>
    <w:rsid w:val="4DAE14E0"/>
    <w:rsid w:val="4E20643C"/>
    <w:rsid w:val="4F776530"/>
    <w:rsid w:val="4F7E0A85"/>
    <w:rsid w:val="4F840281"/>
    <w:rsid w:val="4FBF0827"/>
    <w:rsid w:val="511B709E"/>
    <w:rsid w:val="5441700D"/>
    <w:rsid w:val="571C2577"/>
    <w:rsid w:val="598516EC"/>
    <w:rsid w:val="5ACA0078"/>
    <w:rsid w:val="5ACD3B13"/>
    <w:rsid w:val="5E1117E0"/>
    <w:rsid w:val="5E533842"/>
    <w:rsid w:val="5E7751D1"/>
    <w:rsid w:val="5EAC2CE3"/>
    <w:rsid w:val="5F7924CC"/>
    <w:rsid w:val="6043627C"/>
    <w:rsid w:val="608C5477"/>
    <w:rsid w:val="63ED5D7D"/>
    <w:rsid w:val="642D45E8"/>
    <w:rsid w:val="64FF7A9F"/>
    <w:rsid w:val="659444E7"/>
    <w:rsid w:val="692D1AE1"/>
    <w:rsid w:val="6A3D40F7"/>
    <w:rsid w:val="6B157DBF"/>
    <w:rsid w:val="6BB872CB"/>
    <w:rsid w:val="6C9824B9"/>
    <w:rsid w:val="6CC46801"/>
    <w:rsid w:val="6CD92E29"/>
    <w:rsid w:val="6D157673"/>
    <w:rsid w:val="6DEA07E1"/>
    <w:rsid w:val="6F0270B0"/>
    <w:rsid w:val="6FCB457A"/>
    <w:rsid w:val="6FD0517F"/>
    <w:rsid w:val="76617F46"/>
    <w:rsid w:val="7785132F"/>
    <w:rsid w:val="785B5C80"/>
    <w:rsid w:val="78A029F4"/>
    <w:rsid w:val="797A39DC"/>
    <w:rsid w:val="7A82098B"/>
    <w:rsid w:val="7B6019B0"/>
    <w:rsid w:val="7BDF310F"/>
    <w:rsid w:val="7CAC6D16"/>
    <w:rsid w:val="7DDA4F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4">
    <w:name w:val="heading 1"/>
    <w:basedOn w:val="1"/>
    <w:next w:val="1"/>
    <w:link w:val="15"/>
    <w:qFormat/>
    <w:uiPriority w:val="1"/>
    <w:pPr>
      <w:ind w:left="600" w:firstLine="2"/>
      <w:outlineLvl w:val="0"/>
    </w:pPr>
    <w:rPr>
      <w:rFonts w:ascii="Microsoft JhengHei" w:hAnsi="Microsoft JhengHei" w:eastAsia="Microsoft JhengHei"/>
      <w:b/>
      <w:bCs/>
      <w:sz w:val="24"/>
      <w:szCs w:val="24"/>
    </w:rPr>
  </w:style>
  <w:style w:type="paragraph" w:styleId="5">
    <w:name w:val="heading 4"/>
    <w:basedOn w:val="1"/>
    <w:next w:val="1"/>
    <w:qFormat/>
    <w:uiPriority w:val="9"/>
    <w:pPr>
      <w:keepNext/>
      <w:keepLines/>
      <w:spacing w:before="60" w:after="60"/>
      <w:outlineLvl w:val="3"/>
    </w:pPr>
    <w:rPr>
      <w:rFonts w:ascii="Cambria" w:hAnsi="Cambria" w:cs="Times New Roman"/>
      <w:b/>
      <w:bCs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Body Text"/>
    <w:basedOn w:val="1"/>
    <w:link w:val="17"/>
    <w:qFormat/>
    <w:uiPriority w:val="1"/>
    <w:pPr>
      <w:spacing w:before="126"/>
      <w:ind w:left="120"/>
    </w:pPr>
    <w:rPr>
      <w:rFonts w:ascii="宋体" w:hAnsi="宋体" w:eastAsia="宋体"/>
      <w:sz w:val="24"/>
      <w:szCs w:val="24"/>
    </w:rPr>
  </w:style>
  <w:style w:type="paragraph" w:styleId="7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paragraph" w:styleId="9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eastAsia="zh-CN"/>
    </w:rPr>
  </w:style>
  <w:style w:type="paragraph" w:styleId="10">
    <w:name w:val="Title"/>
    <w:basedOn w:val="1"/>
    <w:next w:val="1"/>
    <w:unhideWhenUsed/>
    <w:qFormat/>
    <w:uiPriority w:val="0"/>
    <w:pPr>
      <w:jc w:val="center"/>
      <w:outlineLvl w:val="0"/>
    </w:pPr>
    <w:rPr>
      <w:rFonts w:ascii="Arial" w:hAnsi="Arial"/>
      <w:b/>
      <w:sz w:val="32"/>
    </w:rPr>
  </w:style>
  <w:style w:type="character" w:customStyle="1" w:styleId="13">
    <w:name w:val="页眉 Char"/>
    <w:basedOn w:val="12"/>
    <w:link w:val="9"/>
    <w:qFormat/>
    <w:uiPriority w:val="99"/>
    <w:rPr>
      <w:sz w:val="18"/>
      <w:szCs w:val="18"/>
    </w:rPr>
  </w:style>
  <w:style w:type="character" w:customStyle="1" w:styleId="14">
    <w:name w:val="页脚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标题 1 Char"/>
    <w:basedOn w:val="12"/>
    <w:link w:val="4"/>
    <w:qFormat/>
    <w:uiPriority w:val="1"/>
    <w:rPr>
      <w:rFonts w:ascii="Microsoft JhengHei" w:hAnsi="Microsoft JhengHei" w:eastAsia="Microsoft JhengHei"/>
      <w:b/>
      <w:bCs/>
      <w:kern w:val="0"/>
      <w:sz w:val="24"/>
      <w:szCs w:val="24"/>
      <w:lang w:eastAsia="en-US"/>
    </w:rPr>
  </w:style>
  <w:style w:type="table" w:customStyle="1" w:styleId="16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正文文本 Char"/>
    <w:basedOn w:val="12"/>
    <w:link w:val="6"/>
    <w:qFormat/>
    <w:uiPriority w:val="1"/>
    <w:rPr>
      <w:rFonts w:ascii="宋体" w:hAnsi="宋体" w:eastAsia="宋体"/>
      <w:kern w:val="0"/>
      <w:sz w:val="24"/>
      <w:szCs w:val="24"/>
      <w:lang w:eastAsia="en-US"/>
    </w:rPr>
  </w:style>
  <w:style w:type="paragraph" w:customStyle="1" w:styleId="18">
    <w:name w:val="Table Paragraph"/>
    <w:basedOn w:val="1"/>
    <w:qFormat/>
    <w:uiPriority w:val="1"/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cs="宋体" w:eastAsiaTheme="minorEastAsia"/>
      <w:color w:val="000000"/>
      <w:sz w:val="24"/>
      <w:szCs w:val="24"/>
      <w:lang w:val="en-US" w:eastAsia="zh-CN" w:bidi="ar-SA"/>
    </w:rPr>
  </w:style>
  <w:style w:type="character" w:customStyle="1" w:styleId="21">
    <w:name w:val="批注框文本 Char"/>
    <w:basedOn w:val="12"/>
    <w:link w:val="7"/>
    <w:semiHidden/>
    <w:qFormat/>
    <w:uiPriority w:val="99"/>
    <w:rPr>
      <w:kern w:val="0"/>
      <w:sz w:val="18"/>
      <w:szCs w:val="18"/>
      <w:lang w:eastAsia="en-US"/>
    </w:rPr>
  </w:style>
  <w:style w:type="paragraph" w:customStyle="1" w:styleId="22">
    <w:name w:val="p0"/>
    <w:basedOn w:val="1"/>
    <w:qFormat/>
    <w:uiPriority w:val="0"/>
    <w:pPr>
      <w:widowControl/>
    </w:pPr>
    <w:rPr>
      <w:rFonts w:ascii="Book Antiqua" w:hAnsi="Book Antiqua" w:cs="宋体"/>
      <w:sz w:val="24"/>
      <w:szCs w:val="24"/>
    </w:rPr>
  </w:style>
  <w:style w:type="paragraph" w:customStyle="1" w:styleId="23">
    <w:name w:val="三级1"/>
    <w:next w:val="10"/>
    <w:unhideWhenUsed/>
    <w:qFormat/>
    <w:uiPriority w:val="0"/>
    <w:pPr>
      <w:tabs>
        <w:tab w:val="left" w:pos="2422"/>
      </w:tabs>
      <w:ind w:left="2422" w:hanging="720"/>
    </w:pPr>
    <w:rPr>
      <w:rFonts w:hint="eastAsia" w:ascii="宋体" w:hAnsi="宋体" w:eastAsia="宋体" w:cs="Times New Roman"/>
      <w:spacing w:val="10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2134</Words>
  <Characters>2212</Characters>
  <Lines>15</Lines>
  <Paragraphs>4</Paragraphs>
  <TotalTime>65</TotalTime>
  <ScaleCrop>false</ScaleCrop>
  <LinksUpToDate>false</LinksUpToDate>
  <CharactersWithSpaces>2213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2025-03-21T02:33:00Z</dcterms:created>
  <dc:creator>lenovo</dc:creator>
  <cp:lastModifiedBy>WPS_1625791870</cp:lastModifiedBy>
  <cp:lastPrinted>2025-04-02T08:09:00Z</cp:lastPrinted>
  <dcterms:modified xsi:type="dcterms:W3CDTF">2026-04-23T08:28:39Z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20CF6A8FB40549D0AC5B971E3A0F8C27</vt:lpwstr>
  </property>
  <property fmtid="{D5CDD505-2E9C-101B-9397-08002B2CF9AE}" pid="4" name="KSOTemplateDocerSaveRecord">
    <vt:lpwstr>eyJoZGlkIjoiYWEyMzEyZjZhMzcxZjhlYzIwMDU2ZWYxYzU4NTZkM2YiLCJ1c2VySWQiOiIxMjMxNDkzNDE3In0=</vt:lpwstr>
  </property>
</Properties>
</file>