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cs="Times New Roman" w:asciiTheme="minorEastAsia" w:hAnsiTheme="minorEastAsia"/>
          <w:b/>
          <w:szCs w:val="21"/>
        </w:rPr>
      </w:pPr>
    </w:p>
    <w:p>
      <w:pPr>
        <w:spacing w:line="360" w:lineRule="auto"/>
        <w:jc w:val="center"/>
        <w:rPr>
          <w:rFonts w:cs="Times New Roman" w:asciiTheme="minorEastAsia" w:hAnsiTheme="minorEastAsia"/>
          <w:b/>
          <w:szCs w:val="21"/>
        </w:rPr>
      </w:pPr>
    </w:p>
    <w:p>
      <w:pPr>
        <w:spacing w:line="360" w:lineRule="auto"/>
        <w:jc w:val="center"/>
        <w:rPr>
          <w:rFonts w:cs="Times New Roman" w:asciiTheme="minorEastAsia" w:hAnsiTheme="minorEastAsia"/>
          <w:b/>
          <w:szCs w:val="21"/>
        </w:rPr>
      </w:pPr>
    </w:p>
    <w:p>
      <w:pPr>
        <w:spacing w:line="360" w:lineRule="auto"/>
        <w:jc w:val="center"/>
        <w:rPr>
          <w:rFonts w:cs="Times New Roman" w:asciiTheme="minorEastAsia" w:hAnsiTheme="minorEastAsia"/>
          <w:b/>
          <w:szCs w:val="21"/>
        </w:rPr>
      </w:pPr>
    </w:p>
    <w:p>
      <w:pPr>
        <w:spacing w:line="360" w:lineRule="auto"/>
        <w:jc w:val="center"/>
        <w:rPr>
          <w:rFonts w:cs="Times New Roman" w:asciiTheme="minorEastAsia" w:hAnsiTheme="minorEastAsia"/>
          <w:b/>
          <w:szCs w:val="21"/>
        </w:rPr>
      </w:pPr>
    </w:p>
    <w:p>
      <w:pPr>
        <w:spacing w:line="360" w:lineRule="auto"/>
        <w:jc w:val="center"/>
        <w:rPr>
          <w:rFonts w:cs="Times New Roman" w:asciiTheme="minorEastAsia" w:hAnsiTheme="minorEastAsia"/>
          <w:b/>
          <w:szCs w:val="21"/>
        </w:rPr>
      </w:pPr>
    </w:p>
    <w:p>
      <w:pPr>
        <w:spacing w:line="360" w:lineRule="auto"/>
        <w:jc w:val="center"/>
        <w:rPr>
          <w:rFonts w:cs="Times New Roman" w:asciiTheme="minorEastAsia" w:hAnsiTheme="minorEastAsia"/>
          <w:b/>
          <w:szCs w:val="21"/>
        </w:rPr>
      </w:pPr>
    </w:p>
    <w:p>
      <w:pPr>
        <w:spacing w:line="360" w:lineRule="auto"/>
        <w:jc w:val="center"/>
        <w:rPr>
          <w:rFonts w:cs="Times New Roman" w:asciiTheme="minorEastAsia" w:hAnsiTheme="minorEastAsia"/>
          <w:b/>
          <w:szCs w:val="21"/>
        </w:rPr>
      </w:pPr>
    </w:p>
    <w:p>
      <w:pPr>
        <w:spacing w:line="360" w:lineRule="auto"/>
        <w:jc w:val="center"/>
        <w:rPr>
          <w:rFonts w:cs="Times New Roman" w:asciiTheme="minorEastAsia" w:hAnsiTheme="minorEastAsia"/>
          <w:b/>
          <w:szCs w:val="21"/>
        </w:rPr>
      </w:pPr>
    </w:p>
    <w:p>
      <w:pPr>
        <w:spacing w:line="360" w:lineRule="auto"/>
        <w:jc w:val="center"/>
        <w:rPr>
          <w:rFonts w:cs="Times New Roman" w:asciiTheme="minorEastAsia" w:hAnsiTheme="minorEastAsia"/>
          <w:b/>
          <w:szCs w:val="21"/>
        </w:rPr>
      </w:pPr>
    </w:p>
    <w:p>
      <w:pPr>
        <w:spacing w:line="360" w:lineRule="auto"/>
        <w:jc w:val="center"/>
        <w:rPr>
          <w:rFonts w:cs="Times New Roman" w:asciiTheme="minorEastAsia" w:hAnsiTheme="minorEastAsia"/>
          <w:b/>
          <w:szCs w:val="21"/>
        </w:rPr>
      </w:pPr>
    </w:p>
    <w:p>
      <w:pPr>
        <w:spacing w:line="360" w:lineRule="auto"/>
        <w:jc w:val="center"/>
        <w:rPr>
          <w:rFonts w:cs="Times New Roman" w:asciiTheme="minorEastAsia" w:hAnsiTheme="minorEastAsia"/>
          <w:b/>
          <w:szCs w:val="21"/>
        </w:rPr>
      </w:pPr>
    </w:p>
    <w:p>
      <w:pPr>
        <w:spacing w:line="360" w:lineRule="auto"/>
        <w:jc w:val="center"/>
        <w:rPr>
          <w:rFonts w:ascii="黑体" w:hAnsi="黑体" w:eastAsia="黑体"/>
          <w:b/>
          <w:bCs/>
          <w:sz w:val="44"/>
          <w:szCs w:val="44"/>
        </w:rPr>
      </w:pPr>
      <w:r>
        <w:rPr>
          <w:rFonts w:hint="eastAsia" w:ascii="黑体" w:hAnsi="黑体" w:eastAsia="黑体"/>
          <w:b/>
          <w:bCs/>
          <w:sz w:val="44"/>
          <w:szCs w:val="44"/>
        </w:rPr>
        <w:t>江苏紫金农村商业银行股份有限公司</w:t>
      </w:r>
    </w:p>
    <w:p>
      <w:pPr>
        <w:spacing w:line="360" w:lineRule="auto"/>
        <w:jc w:val="center"/>
        <w:rPr>
          <w:rFonts w:ascii="黑体" w:hAnsi="黑体" w:eastAsia="黑体"/>
          <w:b/>
          <w:bCs/>
          <w:sz w:val="44"/>
          <w:szCs w:val="44"/>
        </w:rPr>
      </w:pPr>
      <w:r>
        <w:rPr>
          <w:rFonts w:ascii="黑体" w:hAnsi="黑体" w:eastAsia="黑体"/>
          <w:b/>
          <w:bCs/>
          <w:sz w:val="44"/>
          <w:szCs w:val="44"/>
        </w:rPr>
        <w:t>2025年度第三支柱信</w:t>
      </w:r>
      <w:r>
        <w:rPr>
          <w:rFonts w:hint="eastAsia" w:ascii="黑体" w:hAnsi="黑体" w:eastAsia="黑体"/>
          <w:b/>
          <w:bCs/>
          <w:sz w:val="44"/>
          <w:szCs w:val="44"/>
        </w:rPr>
        <w:t>息披露报告</w:t>
      </w:r>
    </w:p>
    <w:p>
      <w:pPr>
        <w:spacing w:line="360" w:lineRule="auto"/>
        <w:rPr>
          <w:rFonts w:cs="Times New Roman" w:asciiTheme="minorEastAsia" w:hAnsiTheme="minorEastAsia"/>
          <w:color w:val="000000"/>
          <w:szCs w:val="21"/>
        </w:rPr>
      </w:pPr>
    </w:p>
    <w:p>
      <w:pPr>
        <w:spacing w:line="360" w:lineRule="auto"/>
        <w:rPr>
          <w:rFonts w:cs="Times New Roman" w:asciiTheme="minorEastAsia" w:hAnsiTheme="minorEastAsia"/>
          <w:color w:val="000000"/>
          <w:szCs w:val="21"/>
        </w:rPr>
      </w:pPr>
    </w:p>
    <w:p>
      <w:pPr>
        <w:spacing w:line="360" w:lineRule="auto"/>
        <w:rPr>
          <w:rFonts w:cs="Times New Roman" w:asciiTheme="minorEastAsia" w:hAnsiTheme="minorEastAsia"/>
          <w:color w:val="000000"/>
          <w:szCs w:val="21"/>
        </w:rPr>
      </w:pPr>
    </w:p>
    <w:p>
      <w:pPr>
        <w:spacing w:line="360" w:lineRule="auto"/>
        <w:rPr>
          <w:rFonts w:cs="Times New Roman" w:asciiTheme="minorEastAsia" w:hAnsiTheme="minorEastAsia"/>
          <w:color w:val="000000"/>
          <w:szCs w:val="21"/>
        </w:rPr>
      </w:pPr>
    </w:p>
    <w:p>
      <w:pPr>
        <w:spacing w:line="360" w:lineRule="auto"/>
        <w:rPr>
          <w:rFonts w:cs="Times New Roman" w:asciiTheme="minorEastAsia" w:hAnsiTheme="minorEastAsia"/>
          <w:color w:val="000000"/>
          <w:szCs w:val="21"/>
        </w:rPr>
      </w:pPr>
    </w:p>
    <w:p>
      <w:pPr>
        <w:spacing w:line="360" w:lineRule="auto"/>
        <w:rPr>
          <w:rFonts w:cs="Times New Roman" w:asciiTheme="minorEastAsia" w:hAnsiTheme="minorEastAsia"/>
          <w:color w:val="000000"/>
          <w:szCs w:val="21"/>
        </w:rPr>
      </w:pPr>
    </w:p>
    <w:p>
      <w:pPr>
        <w:spacing w:line="360" w:lineRule="auto"/>
        <w:rPr>
          <w:rFonts w:cs="Times New Roman" w:asciiTheme="minorEastAsia" w:hAnsiTheme="minorEastAsia"/>
          <w:color w:val="000000"/>
          <w:szCs w:val="21"/>
        </w:rPr>
      </w:pPr>
    </w:p>
    <w:p>
      <w:pPr>
        <w:spacing w:line="360" w:lineRule="auto"/>
        <w:rPr>
          <w:rFonts w:cs="Times New Roman" w:asciiTheme="minorEastAsia" w:hAnsiTheme="minorEastAsia"/>
          <w:color w:val="000000"/>
          <w:szCs w:val="21"/>
        </w:rPr>
      </w:pPr>
    </w:p>
    <w:p>
      <w:pPr>
        <w:spacing w:line="360" w:lineRule="auto"/>
        <w:rPr>
          <w:rFonts w:cs="Times New Roman" w:asciiTheme="minorEastAsia" w:hAnsiTheme="minorEastAsia"/>
          <w:color w:val="000000"/>
          <w:szCs w:val="21"/>
        </w:rPr>
      </w:pPr>
    </w:p>
    <w:p>
      <w:pPr>
        <w:spacing w:line="360" w:lineRule="auto"/>
        <w:rPr>
          <w:rFonts w:cs="Times New Roman" w:asciiTheme="minorEastAsia" w:hAnsiTheme="minorEastAsia"/>
          <w:color w:val="000000"/>
          <w:szCs w:val="21"/>
        </w:rPr>
      </w:pPr>
    </w:p>
    <w:p>
      <w:pPr>
        <w:spacing w:line="360" w:lineRule="auto"/>
        <w:rPr>
          <w:rFonts w:cs="Times New Roman" w:asciiTheme="minorEastAsia" w:hAnsiTheme="minorEastAsia"/>
          <w:color w:val="000000"/>
          <w:szCs w:val="21"/>
        </w:rPr>
      </w:pPr>
    </w:p>
    <w:p>
      <w:pPr>
        <w:spacing w:line="360" w:lineRule="auto"/>
        <w:rPr>
          <w:rFonts w:cs="Times New Roman" w:asciiTheme="minorEastAsia" w:hAnsiTheme="minorEastAsia"/>
          <w:color w:val="000000"/>
          <w:szCs w:val="21"/>
        </w:rPr>
      </w:pPr>
    </w:p>
    <w:p>
      <w:pPr>
        <w:spacing w:line="360" w:lineRule="auto"/>
        <w:rPr>
          <w:rFonts w:cs="Times New Roman" w:asciiTheme="minorEastAsia" w:hAnsiTheme="minorEastAsia"/>
          <w:color w:val="000000"/>
          <w:szCs w:val="21"/>
        </w:rPr>
      </w:pPr>
    </w:p>
    <w:sdt>
      <w:sdtPr>
        <w:rPr>
          <w:rFonts w:asciiTheme="minorHAnsi" w:hAnsiTheme="minorHAnsi" w:eastAsiaTheme="minorEastAsia" w:cstheme="minorBidi"/>
          <w:b w:val="0"/>
          <w:bCs w:val="0"/>
          <w:color w:val="auto"/>
          <w:kern w:val="2"/>
          <w:sz w:val="21"/>
          <w:szCs w:val="22"/>
          <w:lang w:val="zh-CN"/>
        </w:rPr>
        <w:id w:val="591283940"/>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zh-CN"/>
        </w:rPr>
      </w:sdtEndPr>
      <w:sdtContent>
        <w:p>
          <w:pPr>
            <w:pStyle w:val="18"/>
            <w:spacing w:line="360" w:lineRule="auto"/>
            <w:jc w:val="center"/>
            <w:rPr>
              <w:color w:val="auto"/>
              <w:sz w:val="36"/>
              <w:szCs w:val="32"/>
            </w:rPr>
          </w:pPr>
          <w:r>
            <w:rPr>
              <w:color w:val="auto"/>
              <w:sz w:val="36"/>
              <w:szCs w:val="32"/>
              <w:lang w:val="zh-CN"/>
            </w:rPr>
            <w:t>目录</w:t>
          </w:r>
        </w:p>
        <w:p>
          <w:pPr>
            <w:pStyle w:val="8"/>
            <w:tabs>
              <w:tab w:val="right" w:leader="dot" w:pos="8312"/>
              <w:tab w:val="clear" w:pos="8296"/>
            </w:tabs>
          </w:pPr>
          <w:r>
            <w:fldChar w:fldCharType="begin"/>
          </w:r>
          <w:r>
            <w:instrText xml:space="preserve"> TOC \o "1-3" \h \z \u </w:instrText>
          </w:r>
          <w:r>
            <w:fldChar w:fldCharType="separate"/>
          </w:r>
          <w:r>
            <w:fldChar w:fldCharType="begin"/>
          </w:r>
          <w:r>
            <w:instrText xml:space="preserve"> HYPERLINK \l _Toc2198 </w:instrText>
          </w:r>
          <w:r>
            <w:fldChar w:fldCharType="separate"/>
          </w:r>
          <w:r>
            <w:rPr>
              <w:rFonts w:hint="eastAsia" w:asciiTheme="minorEastAsia" w:hAnsiTheme="minorEastAsia"/>
              <w:szCs w:val="24"/>
            </w:rPr>
            <w:t>1</w:t>
          </w:r>
          <w:r>
            <w:rPr>
              <w:rFonts w:asciiTheme="minorEastAsia" w:hAnsiTheme="minorEastAsia"/>
              <w:szCs w:val="24"/>
            </w:rPr>
            <w:t xml:space="preserve">  </w:t>
          </w:r>
          <w:r>
            <w:rPr>
              <w:rFonts w:hint="eastAsia" w:asciiTheme="minorEastAsia" w:hAnsiTheme="minorEastAsia"/>
              <w:szCs w:val="24"/>
            </w:rPr>
            <w:t>引言</w:t>
          </w:r>
          <w:r>
            <w:tab/>
          </w:r>
          <w:r>
            <w:fldChar w:fldCharType="begin"/>
          </w:r>
          <w:r>
            <w:instrText xml:space="preserve"> PAGEREF _Toc2198 \h </w:instrText>
          </w:r>
          <w:r>
            <w:fldChar w:fldCharType="separate"/>
          </w:r>
          <w:r>
            <w:t>1</w:t>
          </w:r>
          <w:r>
            <w:fldChar w:fldCharType="end"/>
          </w:r>
          <w:r>
            <w:fldChar w:fldCharType="end"/>
          </w:r>
        </w:p>
        <w:p>
          <w:pPr>
            <w:pStyle w:val="10"/>
            <w:tabs>
              <w:tab w:val="right" w:leader="dot" w:pos="8312"/>
            </w:tabs>
          </w:pPr>
          <w:r>
            <w:rPr>
              <w:rFonts w:asciiTheme="minorEastAsia" w:hAnsiTheme="minorEastAsia"/>
              <w:bCs/>
              <w:szCs w:val="24"/>
              <w:lang w:val="zh-CN"/>
            </w:rPr>
            <w:fldChar w:fldCharType="begin"/>
          </w:r>
          <w:r>
            <w:rPr>
              <w:rFonts w:asciiTheme="minorEastAsia" w:hAnsiTheme="minorEastAsia"/>
              <w:bCs/>
              <w:szCs w:val="24"/>
              <w:lang w:val="zh-CN"/>
            </w:rPr>
            <w:instrText xml:space="preserve"> HYPERLINK \l _Toc20914 </w:instrText>
          </w:r>
          <w:r>
            <w:rPr>
              <w:rFonts w:asciiTheme="minorEastAsia" w:hAnsiTheme="minorEastAsia"/>
              <w:bCs/>
              <w:szCs w:val="24"/>
              <w:lang w:val="zh-CN"/>
            </w:rPr>
            <w:fldChar w:fldCharType="separate"/>
          </w:r>
          <w:r>
            <w:rPr>
              <w:rFonts w:hint="eastAsia" w:asciiTheme="minorEastAsia" w:hAnsiTheme="minorEastAsia" w:eastAsiaTheme="minorEastAsia"/>
              <w:szCs w:val="24"/>
            </w:rPr>
            <w:t>1.1</w:t>
          </w:r>
          <w:r>
            <w:rPr>
              <w:rFonts w:asciiTheme="minorEastAsia" w:hAnsiTheme="minorEastAsia" w:eastAsiaTheme="minorEastAsia"/>
              <w:szCs w:val="24"/>
            </w:rPr>
            <w:t xml:space="preserve">  </w:t>
          </w:r>
          <w:r>
            <w:rPr>
              <w:rFonts w:hint="eastAsia" w:asciiTheme="minorEastAsia" w:hAnsiTheme="minorEastAsia" w:eastAsiaTheme="minorEastAsia"/>
              <w:szCs w:val="24"/>
            </w:rPr>
            <w:t>披露依据</w:t>
          </w:r>
          <w:r>
            <w:tab/>
          </w:r>
          <w:r>
            <w:fldChar w:fldCharType="begin"/>
          </w:r>
          <w:r>
            <w:instrText xml:space="preserve"> PAGEREF _Toc20914 \h </w:instrText>
          </w:r>
          <w:r>
            <w:fldChar w:fldCharType="separate"/>
          </w:r>
          <w:r>
            <w:t>1</w:t>
          </w:r>
          <w:r>
            <w:fldChar w:fldCharType="end"/>
          </w:r>
          <w:r>
            <w:rPr>
              <w:rFonts w:asciiTheme="minorEastAsia" w:hAnsiTheme="minorEastAsia"/>
              <w:bCs/>
              <w:szCs w:val="24"/>
              <w:lang w:val="zh-CN"/>
            </w:rPr>
            <w:fldChar w:fldCharType="end"/>
          </w:r>
        </w:p>
        <w:p>
          <w:pPr>
            <w:pStyle w:val="10"/>
            <w:tabs>
              <w:tab w:val="right" w:leader="dot" w:pos="8312"/>
            </w:tabs>
          </w:pPr>
          <w:r>
            <w:rPr>
              <w:rFonts w:asciiTheme="minorEastAsia" w:hAnsiTheme="minorEastAsia"/>
              <w:bCs/>
              <w:szCs w:val="24"/>
              <w:lang w:val="zh-CN"/>
            </w:rPr>
            <w:fldChar w:fldCharType="begin"/>
          </w:r>
          <w:r>
            <w:rPr>
              <w:rFonts w:asciiTheme="minorEastAsia" w:hAnsiTheme="minorEastAsia"/>
              <w:bCs/>
              <w:szCs w:val="24"/>
              <w:lang w:val="zh-CN"/>
            </w:rPr>
            <w:instrText xml:space="preserve"> HYPERLINK \l _Toc6117 </w:instrText>
          </w:r>
          <w:r>
            <w:rPr>
              <w:rFonts w:asciiTheme="minorEastAsia" w:hAnsiTheme="minorEastAsia"/>
              <w:bCs/>
              <w:szCs w:val="24"/>
              <w:lang w:val="zh-CN"/>
            </w:rPr>
            <w:fldChar w:fldCharType="separate"/>
          </w:r>
          <w:r>
            <w:rPr>
              <w:rFonts w:hint="eastAsia" w:asciiTheme="minorEastAsia" w:hAnsiTheme="minorEastAsia" w:eastAsiaTheme="minorEastAsia"/>
              <w:szCs w:val="24"/>
            </w:rPr>
            <w:t>1.2</w:t>
          </w:r>
          <w:r>
            <w:rPr>
              <w:rFonts w:asciiTheme="minorEastAsia" w:hAnsiTheme="minorEastAsia" w:eastAsiaTheme="minorEastAsia"/>
              <w:szCs w:val="24"/>
            </w:rPr>
            <w:t xml:space="preserve">  </w:t>
          </w:r>
          <w:r>
            <w:rPr>
              <w:rFonts w:hint="eastAsia" w:asciiTheme="minorEastAsia" w:hAnsiTheme="minorEastAsia" w:eastAsiaTheme="minorEastAsia"/>
              <w:szCs w:val="24"/>
            </w:rPr>
            <w:t>披露声明</w:t>
          </w:r>
          <w:r>
            <w:tab/>
          </w:r>
          <w:r>
            <w:fldChar w:fldCharType="begin"/>
          </w:r>
          <w:r>
            <w:instrText xml:space="preserve"> PAGEREF _Toc6117 \h </w:instrText>
          </w:r>
          <w:r>
            <w:fldChar w:fldCharType="separate"/>
          </w:r>
          <w:r>
            <w:t>1</w:t>
          </w:r>
          <w:r>
            <w:fldChar w:fldCharType="end"/>
          </w:r>
          <w:r>
            <w:rPr>
              <w:rFonts w:asciiTheme="minorEastAsia" w:hAnsiTheme="minorEastAsia"/>
              <w:bCs/>
              <w:szCs w:val="24"/>
              <w:lang w:val="zh-CN"/>
            </w:rPr>
            <w:fldChar w:fldCharType="end"/>
          </w:r>
        </w:p>
        <w:p>
          <w:pPr>
            <w:pStyle w:val="8"/>
            <w:tabs>
              <w:tab w:val="right" w:leader="dot" w:pos="8312"/>
              <w:tab w:val="clear" w:pos="8296"/>
            </w:tabs>
          </w:pPr>
          <w:r>
            <w:rPr>
              <w:rFonts w:asciiTheme="minorEastAsia" w:hAnsiTheme="minorEastAsia"/>
              <w:bCs/>
              <w:szCs w:val="24"/>
              <w:lang w:val="zh-CN"/>
            </w:rPr>
            <w:fldChar w:fldCharType="begin"/>
          </w:r>
          <w:r>
            <w:rPr>
              <w:rFonts w:asciiTheme="minorEastAsia" w:hAnsiTheme="minorEastAsia"/>
              <w:bCs/>
              <w:szCs w:val="24"/>
              <w:lang w:val="zh-CN"/>
            </w:rPr>
            <w:instrText xml:space="preserve"> HYPERLINK \l _Toc18858 </w:instrText>
          </w:r>
          <w:r>
            <w:rPr>
              <w:rFonts w:asciiTheme="minorEastAsia" w:hAnsiTheme="minorEastAsia"/>
              <w:bCs/>
              <w:szCs w:val="24"/>
              <w:lang w:val="zh-CN"/>
            </w:rPr>
            <w:fldChar w:fldCharType="separate"/>
          </w:r>
          <w:r>
            <w:rPr>
              <w:rFonts w:hint="eastAsia" w:asciiTheme="minorEastAsia" w:hAnsiTheme="minorEastAsia"/>
              <w:szCs w:val="28"/>
            </w:rPr>
            <w:t>2</w:t>
          </w:r>
          <w:r>
            <w:rPr>
              <w:rFonts w:asciiTheme="minorEastAsia" w:hAnsiTheme="minorEastAsia"/>
              <w:szCs w:val="28"/>
            </w:rPr>
            <w:t xml:space="preserve">  </w:t>
          </w:r>
          <w:r>
            <w:rPr>
              <w:rFonts w:hint="eastAsia" w:asciiTheme="minorEastAsia" w:hAnsiTheme="minorEastAsia"/>
              <w:szCs w:val="28"/>
            </w:rPr>
            <w:t>风险管理、关键审慎监管指标和风险加权资产概览</w:t>
          </w:r>
          <w:r>
            <w:tab/>
          </w:r>
          <w:r>
            <w:fldChar w:fldCharType="begin"/>
          </w:r>
          <w:r>
            <w:instrText xml:space="preserve"> PAGEREF _Toc18858 \h </w:instrText>
          </w:r>
          <w:r>
            <w:fldChar w:fldCharType="separate"/>
          </w:r>
          <w:r>
            <w:t>2</w:t>
          </w:r>
          <w:r>
            <w:fldChar w:fldCharType="end"/>
          </w:r>
          <w:r>
            <w:rPr>
              <w:rFonts w:asciiTheme="minorEastAsia" w:hAnsiTheme="minorEastAsia"/>
              <w:bCs/>
              <w:szCs w:val="24"/>
              <w:lang w:val="zh-CN"/>
            </w:rPr>
            <w:fldChar w:fldCharType="end"/>
          </w:r>
        </w:p>
        <w:p>
          <w:pPr>
            <w:pStyle w:val="10"/>
            <w:tabs>
              <w:tab w:val="right" w:leader="dot" w:pos="8312"/>
            </w:tabs>
          </w:pPr>
          <w:r>
            <w:rPr>
              <w:rFonts w:asciiTheme="minorEastAsia" w:hAnsiTheme="minorEastAsia"/>
              <w:bCs/>
              <w:szCs w:val="24"/>
              <w:lang w:val="zh-CN"/>
            </w:rPr>
            <w:fldChar w:fldCharType="begin"/>
          </w:r>
          <w:r>
            <w:rPr>
              <w:rFonts w:asciiTheme="minorEastAsia" w:hAnsiTheme="minorEastAsia"/>
              <w:bCs/>
              <w:szCs w:val="24"/>
              <w:lang w:val="zh-CN"/>
            </w:rPr>
            <w:instrText xml:space="preserve"> HYPERLINK \l _Toc11373 </w:instrText>
          </w:r>
          <w:r>
            <w:rPr>
              <w:rFonts w:asciiTheme="minorEastAsia" w:hAnsiTheme="minorEastAsia"/>
              <w:bCs/>
              <w:szCs w:val="24"/>
              <w:lang w:val="zh-CN"/>
            </w:rPr>
            <w:fldChar w:fldCharType="separate"/>
          </w:r>
          <w:r>
            <w:rPr>
              <w:rFonts w:hint="eastAsia" w:asciiTheme="minorEastAsia" w:hAnsiTheme="minorEastAsia" w:eastAsiaTheme="minorEastAsia"/>
              <w:szCs w:val="24"/>
            </w:rPr>
            <w:t>2.1</w:t>
          </w:r>
          <w:r>
            <w:rPr>
              <w:rFonts w:asciiTheme="minorEastAsia" w:hAnsiTheme="minorEastAsia" w:eastAsiaTheme="minorEastAsia"/>
              <w:szCs w:val="24"/>
            </w:rPr>
            <w:t xml:space="preserve">  KM1 </w:t>
          </w:r>
          <w:r>
            <w:rPr>
              <w:rFonts w:hint="eastAsia" w:asciiTheme="minorEastAsia" w:hAnsiTheme="minorEastAsia" w:eastAsiaTheme="minorEastAsia"/>
              <w:szCs w:val="24"/>
            </w:rPr>
            <w:t>关键审慎监管指标</w:t>
          </w:r>
          <w:r>
            <w:tab/>
          </w:r>
          <w:r>
            <w:fldChar w:fldCharType="begin"/>
          </w:r>
          <w:r>
            <w:instrText xml:space="preserve"> PAGEREF _Toc11373 \h </w:instrText>
          </w:r>
          <w:r>
            <w:fldChar w:fldCharType="separate"/>
          </w:r>
          <w:r>
            <w:t>2</w:t>
          </w:r>
          <w:r>
            <w:fldChar w:fldCharType="end"/>
          </w:r>
          <w:r>
            <w:rPr>
              <w:rFonts w:asciiTheme="minorEastAsia" w:hAnsiTheme="minorEastAsia"/>
              <w:bCs/>
              <w:szCs w:val="24"/>
              <w:lang w:val="zh-CN"/>
            </w:rPr>
            <w:fldChar w:fldCharType="end"/>
          </w:r>
        </w:p>
        <w:p>
          <w:pPr>
            <w:pStyle w:val="10"/>
            <w:tabs>
              <w:tab w:val="right" w:leader="dot" w:pos="8312"/>
            </w:tabs>
          </w:pPr>
          <w:r>
            <w:rPr>
              <w:rFonts w:asciiTheme="minorEastAsia" w:hAnsiTheme="minorEastAsia"/>
              <w:bCs/>
              <w:szCs w:val="24"/>
              <w:lang w:val="zh-CN"/>
            </w:rPr>
            <w:fldChar w:fldCharType="begin"/>
          </w:r>
          <w:r>
            <w:rPr>
              <w:rFonts w:asciiTheme="minorEastAsia" w:hAnsiTheme="minorEastAsia"/>
              <w:bCs/>
              <w:szCs w:val="24"/>
              <w:lang w:val="zh-CN"/>
            </w:rPr>
            <w:instrText xml:space="preserve"> HYPERLINK \l _Toc19552 </w:instrText>
          </w:r>
          <w:r>
            <w:rPr>
              <w:rFonts w:asciiTheme="minorEastAsia" w:hAnsiTheme="minorEastAsia"/>
              <w:bCs/>
              <w:szCs w:val="24"/>
              <w:lang w:val="zh-CN"/>
            </w:rPr>
            <w:fldChar w:fldCharType="separate"/>
          </w:r>
          <w:r>
            <w:rPr>
              <w:rFonts w:hint="eastAsia" w:asciiTheme="minorEastAsia" w:hAnsiTheme="minorEastAsia" w:eastAsiaTheme="minorEastAsia"/>
              <w:szCs w:val="24"/>
            </w:rPr>
            <w:t>2.2</w:t>
          </w:r>
          <w:r>
            <w:rPr>
              <w:rFonts w:asciiTheme="minorEastAsia" w:hAnsiTheme="minorEastAsia" w:eastAsiaTheme="minorEastAsia"/>
              <w:szCs w:val="24"/>
            </w:rPr>
            <w:t xml:space="preserve">  </w:t>
          </w:r>
          <w:r>
            <w:rPr>
              <w:rFonts w:hint="eastAsia" w:cs="Times New Roman" w:asciiTheme="minorEastAsia" w:hAnsiTheme="minorEastAsia"/>
              <w:szCs w:val="24"/>
            </w:rPr>
            <w:t>OVA 风险管理定性信息</w:t>
          </w:r>
          <w:r>
            <w:tab/>
          </w:r>
          <w:r>
            <w:fldChar w:fldCharType="begin"/>
          </w:r>
          <w:r>
            <w:instrText xml:space="preserve"> PAGEREF _Toc19552 \h </w:instrText>
          </w:r>
          <w:r>
            <w:fldChar w:fldCharType="separate"/>
          </w:r>
          <w:r>
            <w:t>3</w:t>
          </w:r>
          <w:r>
            <w:fldChar w:fldCharType="end"/>
          </w:r>
          <w:r>
            <w:rPr>
              <w:rFonts w:asciiTheme="minorEastAsia" w:hAnsiTheme="minorEastAsia"/>
              <w:bCs/>
              <w:szCs w:val="24"/>
              <w:lang w:val="zh-CN"/>
            </w:rPr>
            <w:fldChar w:fldCharType="end"/>
          </w:r>
        </w:p>
        <w:p>
          <w:pPr>
            <w:pStyle w:val="10"/>
            <w:tabs>
              <w:tab w:val="right" w:leader="dot" w:pos="8312"/>
            </w:tabs>
          </w:pPr>
          <w:r>
            <w:rPr>
              <w:rFonts w:asciiTheme="minorEastAsia" w:hAnsiTheme="minorEastAsia"/>
              <w:bCs/>
              <w:szCs w:val="24"/>
              <w:lang w:val="zh-CN"/>
            </w:rPr>
            <w:fldChar w:fldCharType="begin"/>
          </w:r>
          <w:r>
            <w:rPr>
              <w:rFonts w:asciiTheme="minorEastAsia" w:hAnsiTheme="minorEastAsia"/>
              <w:bCs/>
              <w:szCs w:val="24"/>
              <w:lang w:val="zh-CN"/>
            </w:rPr>
            <w:instrText xml:space="preserve"> HYPERLINK \l _Toc17028 </w:instrText>
          </w:r>
          <w:r>
            <w:rPr>
              <w:rFonts w:asciiTheme="minorEastAsia" w:hAnsiTheme="minorEastAsia"/>
              <w:bCs/>
              <w:szCs w:val="24"/>
              <w:lang w:val="zh-CN"/>
            </w:rPr>
            <w:fldChar w:fldCharType="separate"/>
          </w:r>
          <w:r>
            <w:rPr>
              <w:rFonts w:hint="eastAsia" w:asciiTheme="minorEastAsia" w:hAnsiTheme="minorEastAsia" w:eastAsiaTheme="minorEastAsia"/>
              <w:szCs w:val="24"/>
            </w:rPr>
            <w:t>2.</w:t>
          </w:r>
          <w:r>
            <w:rPr>
              <w:rFonts w:asciiTheme="minorEastAsia" w:hAnsiTheme="minorEastAsia" w:eastAsiaTheme="minorEastAsia"/>
              <w:szCs w:val="24"/>
            </w:rPr>
            <w:t xml:space="preserve">3  </w:t>
          </w:r>
          <w:r>
            <w:rPr>
              <w:rFonts w:hint="eastAsia" w:cs="Times New Roman" w:asciiTheme="minorEastAsia" w:hAnsiTheme="minorEastAsia"/>
              <w:szCs w:val="24"/>
            </w:rPr>
            <w:t xml:space="preserve">OV1 </w:t>
          </w:r>
          <w:r>
            <w:rPr>
              <w:rFonts w:hint="eastAsia" w:asciiTheme="minorEastAsia" w:hAnsiTheme="minorEastAsia" w:eastAsiaTheme="minorEastAsia"/>
              <w:szCs w:val="24"/>
            </w:rPr>
            <w:t>风险加权资产概况</w:t>
          </w:r>
          <w:r>
            <w:tab/>
          </w:r>
          <w:r>
            <w:fldChar w:fldCharType="begin"/>
          </w:r>
          <w:r>
            <w:instrText xml:space="preserve"> PAGEREF _Toc17028 \h </w:instrText>
          </w:r>
          <w:r>
            <w:fldChar w:fldCharType="separate"/>
          </w:r>
          <w:r>
            <w:t>4</w:t>
          </w:r>
          <w:r>
            <w:fldChar w:fldCharType="end"/>
          </w:r>
          <w:r>
            <w:rPr>
              <w:rFonts w:asciiTheme="minorEastAsia" w:hAnsiTheme="minorEastAsia"/>
              <w:bCs/>
              <w:szCs w:val="24"/>
              <w:lang w:val="zh-CN"/>
            </w:rPr>
            <w:fldChar w:fldCharType="end"/>
          </w:r>
        </w:p>
        <w:p>
          <w:pPr>
            <w:pStyle w:val="8"/>
            <w:tabs>
              <w:tab w:val="right" w:leader="dot" w:pos="8312"/>
              <w:tab w:val="clear" w:pos="8296"/>
            </w:tabs>
          </w:pPr>
          <w:r>
            <w:rPr>
              <w:rFonts w:asciiTheme="minorEastAsia" w:hAnsiTheme="minorEastAsia"/>
              <w:bCs/>
              <w:szCs w:val="24"/>
              <w:lang w:val="zh-CN"/>
            </w:rPr>
            <w:fldChar w:fldCharType="begin"/>
          </w:r>
          <w:r>
            <w:rPr>
              <w:rFonts w:asciiTheme="minorEastAsia" w:hAnsiTheme="minorEastAsia"/>
              <w:bCs/>
              <w:szCs w:val="24"/>
              <w:lang w:val="zh-CN"/>
            </w:rPr>
            <w:instrText xml:space="preserve"> HYPERLINK \l _Toc4625 </w:instrText>
          </w:r>
          <w:r>
            <w:rPr>
              <w:rFonts w:asciiTheme="minorEastAsia" w:hAnsiTheme="minorEastAsia"/>
              <w:bCs/>
              <w:szCs w:val="24"/>
              <w:lang w:val="zh-CN"/>
            </w:rPr>
            <w:fldChar w:fldCharType="separate"/>
          </w:r>
          <w:r>
            <w:rPr>
              <w:rFonts w:hint="eastAsia" w:asciiTheme="minorEastAsia" w:hAnsiTheme="minorEastAsia"/>
              <w:szCs w:val="24"/>
            </w:rPr>
            <w:t>3</w:t>
          </w:r>
          <w:r>
            <w:rPr>
              <w:rFonts w:asciiTheme="minorEastAsia" w:hAnsiTheme="minorEastAsia"/>
              <w:szCs w:val="24"/>
            </w:rPr>
            <w:t xml:space="preserve">  </w:t>
          </w:r>
          <w:r>
            <w:rPr>
              <w:rFonts w:hint="eastAsia" w:asciiTheme="minorEastAsia" w:hAnsiTheme="minorEastAsia"/>
              <w:szCs w:val="24"/>
            </w:rPr>
            <w:t>资本构成</w:t>
          </w:r>
          <w:r>
            <w:tab/>
          </w:r>
          <w:r>
            <w:fldChar w:fldCharType="begin"/>
          </w:r>
          <w:r>
            <w:instrText xml:space="preserve"> PAGEREF _Toc4625 \h </w:instrText>
          </w:r>
          <w:r>
            <w:fldChar w:fldCharType="separate"/>
          </w:r>
          <w:r>
            <w:t>5</w:t>
          </w:r>
          <w:r>
            <w:fldChar w:fldCharType="end"/>
          </w:r>
          <w:r>
            <w:rPr>
              <w:rFonts w:asciiTheme="minorEastAsia" w:hAnsiTheme="minorEastAsia"/>
              <w:bCs/>
              <w:szCs w:val="24"/>
              <w:lang w:val="zh-CN"/>
            </w:rPr>
            <w:fldChar w:fldCharType="end"/>
          </w:r>
        </w:p>
        <w:p>
          <w:pPr>
            <w:pStyle w:val="10"/>
            <w:tabs>
              <w:tab w:val="right" w:leader="dot" w:pos="8312"/>
            </w:tabs>
          </w:pPr>
          <w:r>
            <w:rPr>
              <w:rFonts w:asciiTheme="minorEastAsia" w:hAnsiTheme="minorEastAsia"/>
              <w:bCs/>
              <w:szCs w:val="24"/>
              <w:lang w:val="zh-CN"/>
            </w:rPr>
            <w:fldChar w:fldCharType="begin"/>
          </w:r>
          <w:r>
            <w:rPr>
              <w:rFonts w:asciiTheme="minorEastAsia" w:hAnsiTheme="minorEastAsia"/>
              <w:bCs/>
              <w:szCs w:val="24"/>
              <w:lang w:val="zh-CN"/>
            </w:rPr>
            <w:instrText xml:space="preserve"> HYPERLINK \l _Toc12713 </w:instrText>
          </w:r>
          <w:r>
            <w:rPr>
              <w:rFonts w:asciiTheme="minorEastAsia" w:hAnsiTheme="minorEastAsia"/>
              <w:bCs/>
              <w:szCs w:val="24"/>
              <w:lang w:val="zh-CN"/>
            </w:rPr>
            <w:fldChar w:fldCharType="separate"/>
          </w:r>
          <w:r>
            <w:rPr>
              <w:rFonts w:hint="eastAsia" w:asciiTheme="minorEastAsia" w:hAnsiTheme="minorEastAsia" w:eastAsiaTheme="minorEastAsia"/>
              <w:szCs w:val="24"/>
            </w:rPr>
            <w:t>3.1</w:t>
          </w:r>
          <w:r>
            <w:rPr>
              <w:rFonts w:asciiTheme="minorEastAsia" w:hAnsiTheme="minorEastAsia" w:eastAsiaTheme="minorEastAsia"/>
              <w:szCs w:val="24"/>
            </w:rPr>
            <w:t xml:space="preserve">  </w:t>
          </w:r>
          <w:r>
            <w:rPr>
              <w:rFonts w:hint="eastAsia" w:cs="Times New Roman" w:asciiTheme="minorEastAsia" w:hAnsiTheme="minorEastAsia"/>
              <w:szCs w:val="24"/>
            </w:rPr>
            <w:t>CC</w:t>
          </w:r>
          <w:r>
            <w:rPr>
              <w:rFonts w:cs="Times New Roman" w:asciiTheme="minorEastAsia" w:hAnsiTheme="minorEastAsia"/>
              <w:szCs w:val="24"/>
            </w:rPr>
            <w:t xml:space="preserve">A </w:t>
          </w:r>
          <w:r>
            <w:rPr>
              <w:rFonts w:hint="eastAsia" w:asciiTheme="minorEastAsia" w:hAnsiTheme="minorEastAsia" w:eastAsiaTheme="minorEastAsia"/>
              <w:szCs w:val="24"/>
            </w:rPr>
            <w:t>资本工具的主要特征</w:t>
          </w:r>
          <w:r>
            <w:tab/>
          </w:r>
          <w:r>
            <w:fldChar w:fldCharType="begin"/>
          </w:r>
          <w:r>
            <w:instrText xml:space="preserve"> PAGEREF _Toc12713 \h </w:instrText>
          </w:r>
          <w:r>
            <w:fldChar w:fldCharType="separate"/>
          </w:r>
          <w:r>
            <w:t>5</w:t>
          </w:r>
          <w:r>
            <w:fldChar w:fldCharType="end"/>
          </w:r>
          <w:r>
            <w:rPr>
              <w:rFonts w:asciiTheme="minorEastAsia" w:hAnsiTheme="minorEastAsia"/>
              <w:bCs/>
              <w:szCs w:val="24"/>
              <w:lang w:val="zh-CN"/>
            </w:rPr>
            <w:fldChar w:fldCharType="end"/>
          </w:r>
        </w:p>
        <w:p>
          <w:pPr>
            <w:pStyle w:val="10"/>
            <w:tabs>
              <w:tab w:val="right" w:leader="dot" w:pos="8312"/>
            </w:tabs>
          </w:pPr>
          <w:r>
            <w:rPr>
              <w:rFonts w:asciiTheme="minorEastAsia" w:hAnsiTheme="minorEastAsia"/>
              <w:bCs/>
              <w:szCs w:val="24"/>
              <w:lang w:val="zh-CN"/>
            </w:rPr>
            <w:fldChar w:fldCharType="begin"/>
          </w:r>
          <w:r>
            <w:rPr>
              <w:rFonts w:asciiTheme="minorEastAsia" w:hAnsiTheme="minorEastAsia"/>
              <w:bCs/>
              <w:szCs w:val="24"/>
              <w:lang w:val="zh-CN"/>
            </w:rPr>
            <w:instrText xml:space="preserve"> HYPERLINK \l _Toc31640 </w:instrText>
          </w:r>
          <w:r>
            <w:rPr>
              <w:rFonts w:asciiTheme="minorEastAsia" w:hAnsiTheme="minorEastAsia"/>
              <w:bCs/>
              <w:szCs w:val="24"/>
              <w:lang w:val="zh-CN"/>
            </w:rPr>
            <w:fldChar w:fldCharType="separate"/>
          </w:r>
          <w:r>
            <w:rPr>
              <w:rFonts w:hint="eastAsia" w:asciiTheme="minorEastAsia" w:hAnsiTheme="minorEastAsia" w:eastAsiaTheme="minorEastAsia"/>
              <w:szCs w:val="24"/>
            </w:rPr>
            <w:t>3.2</w:t>
          </w:r>
          <w:r>
            <w:rPr>
              <w:rFonts w:asciiTheme="minorEastAsia" w:hAnsiTheme="minorEastAsia" w:eastAsiaTheme="minorEastAsia"/>
              <w:szCs w:val="24"/>
            </w:rPr>
            <w:t xml:space="preserve">  </w:t>
          </w:r>
          <w:r>
            <w:rPr>
              <w:rFonts w:hint="eastAsia" w:cs="Times New Roman" w:asciiTheme="minorEastAsia" w:hAnsiTheme="minorEastAsia"/>
              <w:szCs w:val="24"/>
            </w:rPr>
            <w:t xml:space="preserve">CC1 </w:t>
          </w:r>
          <w:r>
            <w:rPr>
              <w:rFonts w:hint="eastAsia" w:asciiTheme="minorEastAsia" w:hAnsiTheme="minorEastAsia" w:eastAsiaTheme="minorEastAsia"/>
              <w:szCs w:val="24"/>
            </w:rPr>
            <w:t>资本构成</w:t>
          </w:r>
          <w:r>
            <w:tab/>
          </w:r>
          <w:r>
            <w:fldChar w:fldCharType="begin"/>
          </w:r>
          <w:r>
            <w:instrText xml:space="preserve"> PAGEREF _Toc31640 \h </w:instrText>
          </w:r>
          <w:r>
            <w:fldChar w:fldCharType="separate"/>
          </w:r>
          <w:r>
            <w:t>5</w:t>
          </w:r>
          <w:r>
            <w:fldChar w:fldCharType="end"/>
          </w:r>
          <w:r>
            <w:rPr>
              <w:rFonts w:asciiTheme="minorEastAsia" w:hAnsiTheme="minorEastAsia"/>
              <w:bCs/>
              <w:szCs w:val="24"/>
              <w:lang w:val="zh-CN"/>
            </w:rPr>
            <w:fldChar w:fldCharType="end"/>
          </w:r>
        </w:p>
        <w:p>
          <w:pPr>
            <w:pStyle w:val="10"/>
            <w:tabs>
              <w:tab w:val="right" w:leader="dot" w:pos="8312"/>
            </w:tabs>
          </w:pPr>
          <w:r>
            <w:rPr>
              <w:rFonts w:asciiTheme="minorEastAsia" w:hAnsiTheme="minorEastAsia"/>
              <w:bCs/>
              <w:szCs w:val="24"/>
              <w:lang w:val="zh-CN"/>
            </w:rPr>
            <w:fldChar w:fldCharType="begin"/>
          </w:r>
          <w:r>
            <w:rPr>
              <w:rFonts w:asciiTheme="minorEastAsia" w:hAnsiTheme="minorEastAsia"/>
              <w:bCs/>
              <w:szCs w:val="24"/>
              <w:lang w:val="zh-CN"/>
            </w:rPr>
            <w:instrText xml:space="preserve"> HYPERLINK \l _Toc26969 </w:instrText>
          </w:r>
          <w:r>
            <w:rPr>
              <w:rFonts w:asciiTheme="minorEastAsia" w:hAnsiTheme="minorEastAsia"/>
              <w:bCs/>
              <w:szCs w:val="24"/>
              <w:lang w:val="zh-CN"/>
            </w:rPr>
            <w:fldChar w:fldCharType="separate"/>
          </w:r>
          <w:r>
            <w:rPr>
              <w:rFonts w:hint="eastAsia" w:asciiTheme="minorEastAsia" w:hAnsiTheme="minorEastAsia" w:eastAsiaTheme="minorEastAsia"/>
              <w:szCs w:val="24"/>
            </w:rPr>
            <w:t>3.3</w:t>
          </w:r>
          <w:r>
            <w:rPr>
              <w:rFonts w:asciiTheme="minorEastAsia" w:hAnsiTheme="minorEastAsia" w:eastAsiaTheme="minorEastAsia"/>
              <w:szCs w:val="24"/>
            </w:rPr>
            <w:t xml:space="preserve">  </w:t>
          </w:r>
          <w:r>
            <w:rPr>
              <w:rFonts w:hint="eastAsia" w:cs="Times New Roman" w:asciiTheme="minorEastAsia" w:hAnsiTheme="minorEastAsia"/>
              <w:szCs w:val="24"/>
            </w:rPr>
            <w:t xml:space="preserve">CC2 </w:t>
          </w:r>
          <w:r>
            <w:rPr>
              <w:rFonts w:hint="eastAsia" w:asciiTheme="minorEastAsia" w:hAnsiTheme="minorEastAsia" w:eastAsiaTheme="minorEastAsia"/>
              <w:szCs w:val="24"/>
            </w:rPr>
            <w:t>集团财务并表和监管并表下的资产负债表差异</w:t>
          </w:r>
          <w:r>
            <w:tab/>
          </w:r>
          <w:r>
            <w:fldChar w:fldCharType="begin"/>
          </w:r>
          <w:r>
            <w:instrText xml:space="preserve"> PAGEREF _Toc26969 \h </w:instrText>
          </w:r>
          <w:r>
            <w:fldChar w:fldCharType="separate"/>
          </w:r>
          <w:r>
            <w:t>8</w:t>
          </w:r>
          <w:r>
            <w:fldChar w:fldCharType="end"/>
          </w:r>
          <w:r>
            <w:rPr>
              <w:rFonts w:asciiTheme="minorEastAsia" w:hAnsiTheme="minorEastAsia"/>
              <w:bCs/>
              <w:szCs w:val="24"/>
              <w:lang w:val="zh-CN"/>
            </w:rPr>
            <w:fldChar w:fldCharType="end"/>
          </w:r>
        </w:p>
        <w:p>
          <w:pPr>
            <w:pStyle w:val="8"/>
            <w:tabs>
              <w:tab w:val="right" w:leader="dot" w:pos="8312"/>
              <w:tab w:val="clear" w:pos="8296"/>
            </w:tabs>
          </w:pPr>
          <w:r>
            <w:rPr>
              <w:rFonts w:asciiTheme="minorEastAsia" w:hAnsiTheme="minorEastAsia"/>
              <w:bCs/>
              <w:szCs w:val="24"/>
              <w:lang w:val="zh-CN"/>
            </w:rPr>
            <w:fldChar w:fldCharType="begin"/>
          </w:r>
          <w:r>
            <w:rPr>
              <w:rFonts w:asciiTheme="minorEastAsia" w:hAnsiTheme="minorEastAsia"/>
              <w:bCs/>
              <w:szCs w:val="24"/>
              <w:lang w:val="zh-CN"/>
            </w:rPr>
            <w:instrText xml:space="preserve"> HYPERLINK \l _Toc11353 </w:instrText>
          </w:r>
          <w:r>
            <w:rPr>
              <w:rFonts w:asciiTheme="minorEastAsia" w:hAnsiTheme="minorEastAsia"/>
              <w:bCs/>
              <w:szCs w:val="24"/>
              <w:lang w:val="zh-CN"/>
            </w:rPr>
            <w:fldChar w:fldCharType="separate"/>
          </w:r>
          <w:r>
            <w:rPr>
              <w:rFonts w:asciiTheme="minorEastAsia" w:hAnsiTheme="minorEastAsia"/>
              <w:szCs w:val="24"/>
            </w:rPr>
            <w:t xml:space="preserve">4  </w:t>
          </w:r>
          <w:r>
            <w:rPr>
              <w:rFonts w:hint="eastAsia" w:asciiTheme="minorEastAsia" w:hAnsiTheme="minorEastAsia"/>
              <w:szCs w:val="24"/>
            </w:rPr>
            <w:t>杠杆率</w:t>
          </w:r>
          <w:r>
            <w:tab/>
          </w:r>
          <w:r>
            <w:fldChar w:fldCharType="begin"/>
          </w:r>
          <w:r>
            <w:instrText xml:space="preserve"> PAGEREF _Toc11353 \h </w:instrText>
          </w:r>
          <w:r>
            <w:fldChar w:fldCharType="separate"/>
          </w:r>
          <w:r>
            <w:t>10</w:t>
          </w:r>
          <w:r>
            <w:fldChar w:fldCharType="end"/>
          </w:r>
          <w:r>
            <w:rPr>
              <w:rFonts w:asciiTheme="minorEastAsia" w:hAnsiTheme="minorEastAsia"/>
              <w:bCs/>
              <w:szCs w:val="24"/>
              <w:lang w:val="zh-CN"/>
            </w:rPr>
            <w:fldChar w:fldCharType="end"/>
          </w:r>
        </w:p>
        <w:p>
          <w:pPr>
            <w:pStyle w:val="10"/>
            <w:tabs>
              <w:tab w:val="right" w:leader="dot" w:pos="8312"/>
            </w:tabs>
          </w:pPr>
          <w:r>
            <w:rPr>
              <w:rFonts w:asciiTheme="minorEastAsia" w:hAnsiTheme="minorEastAsia"/>
              <w:bCs/>
              <w:szCs w:val="24"/>
              <w:lang w:val="zh-CN"/>
            </w:rPr>
            <w:fldChar w:fldCharType="begin"/>
          </w:r>
          <w:r>
            <w:rPr>
              <w:rFonts w:asciiTheme="minorEastAsia" w:hAnsiTheme="minorEastAsia"/>
              <w:bCs/>
              <w:szCs w:val="24"/>
              <w:lang w:val="zh-CN"/>
            </w:rPr>
            <w:instrText xml:space="preserve"> HYPERLINK \l _Toc12737 </w:instrText>
          </w:r>
          <w:r>
            <w:rPr>
              <w:rFonts w:asciiTheme="minorEastAsia" w:hAnsiTheme="minorEastAsia"/>
              <w:bCs/>
              <w:szCs w:val="24"/>
              <w:lang w:val="zh-CN"/>
            </w:rPr>
            <w:fldChar w:fldCharType="separate"/>
          </w:r>
          <w:r>
            <w:rPr>
              <w:rFonts w:hint="eastAsia" w:asciiTheme="minorEastAsia" w:hAnsiTheme="minorEastAsia" w:eastAsiaTheme="minorEastAsia"/>
              <w:szCs w:val="24"/>
            </w:rPr>
            <w:t>4.1</w:t>
          </w:r>
          <w:r>
            <w:rPr>
              <w:rFonts w:asciiTheme="minorEastAsia" w:hAnsiTheme="minorEastAsia" w:eastAsiaTheme="minorEastAsia"/>
              <w:szCs w:val="24"/>
            </w:rPr>
            <w:t xml:space="preserve">  </w:t>
          </w:r>
          <w:r>
            <w:rPr>
              <w:rFonts w:hint="eastAsia" w:cs="Times New Roman" w:asciiTheme="minorEastAsia" w:hAnsiTheme="minorEastAsia"/>
              <w:szCs w:val="24"/>
            </w:rPr>
            <w:t xml:space="preserve">LR1 </w:t>
          </w:r>
          <w:r>
            <w:rPr>
              <w:rFonts w:hint="eastAsia" w:asciiTheme="minorEastAsia" w:hAnsiTheme="minorEastAsia" w:eastAsiaTheme="minorEastAsia"/>
              <w:szCs w:val="24"/>
            </w:rPr>
            <w:t>杠杆率监管项目与相关会计项目的差异</w:t>
          </w:r>
          <w:r>
            <w:tab/>
          </w:r>
          <w:r>
            <w:fldChar w:fldCharType="begin"/>
          </w:r>
          <w:r>
            <w:instrText xml:space="preserve"> PAGEREF _Toc12737 \h </w:instrText>
          </w:r>
          <w:r>
            <w:fldChar w:fldCharType="separate"/>
          </w:r>
          <w:r>
            <w:t>10</w:t>
          </w:r>
          <w:r>
            <w:fldChar w:fldCharType="end"/>
          </w:r>
          <w:r>
            <w:rPr>
              <w:rFonts w:asciiTheme="minorEastAsia" w:hAnsiTheme="minorEastAsia"/>
              <w:bCs/>
              <w:szCs w:val="24"/>
              <w:lang w:val="zh-CN"/>
            </w:rPr>
            <w:fldChar w:fldCharType="end"/>
          </w:r>
        </w:p>
        <w:p>
          <w:pPr>
            <w:pStyle w:val="10"/>
            <w:tabs>
              <w:tab w:val="right" w:leader="dot" w:pos="8312"/>
            </w:tabs>
          </w:pPr>
          <w:r>
            <w:rPr>
              <w:rFonts w:asciiTheme="minorEastAsia" w:hAnsiTheme="minorEastAsia"/>
              <w:bCs/>
              <w:szCs w:val="24"/>
              <w:lang w:val="zh-CN"/>
            </w:rPr>
            <w:fldChar w:fldCharType="begin"/>
          </w:r>
          <w:r>
            <w:rPr>
              <w:rFonts w:asciiTheme="minorEastAsia" w:hAnsiTheme="minorEastAsia"/>
              <w:bCs/>
              <w:szCs w:val="24"/>
              <w:lang w:val="zh-CN"/>
            </w:rPr>
            <w:instrText xml:space="preserve"> HYPERLINK \l _Toc7362 </w:instrText>
          </w:r>
          <w:r>
            <w:rPr>
              <w:rFonts w:asciiTheme="minorEastAsia" w:hAnsiTheme="minorEastAsia"/>
              <w:bCs/>
              <w:szCs w:val="24"/>
              <w:lang w:val="zh-CN"/>
            </w:rPr>
            <w:fldChar w:fldCharType="separate"/>
          </w:r>
          <w:r>
            <w:rPr>
              <w:rFonts w:hint="eastAsia" w:asciiTheme="minorEastAsia" w:hAnsiTheme="minorEastAsia" w:eastAsiaTheme="minorEastAsia"/>
              <w:szCs w:val="24"/>
            </w:rPr>
            <w:t>4.</w:t>
          </w:r>
          <w:r>
            <w:rPr>
              <w:rFonts w:asciiTheme="minorEastAsia" w:hAnsiTheme="minorEastAsia" w:eastAsiaTheme="minorEastAsia"/>
              <w:szCs w:val="24"/>
            </w:rPr>
            <w:t xml:space="preserve">2  </w:t>
          </w:r>
          <w:r>
            <w:rPr>
              <w:rFonts w:hint="eastAsia" w:cs="Times New Roman" w:asciiTheme="minorEastAsia" w:hAnsiTheme="minorEastAsia"/>
              <w:szCs w:val="24"/>
            </w:rPr>
            <w:t xml:space="preserve">LR2 </w:t>
          </w:r>
          <w:r>
            <w:rPr>
              <w:rFonts w:hint="eastAsia" w:asciiTheme="minorEastAsia" w:hAnsiTheme="minorEastAsia" w:eastAsiaTheme="minorEastAsia"/>
              <w:szCs w:val="24"/>
            </w:rPr>
            <w:t>杠杆率</w:t>
          </w:r>
          <w:r>
            <w:tab/>
          </w:r>
          <w:r>
            <w:fldChar w:fldCharType="begin"/>
          </w:r>
          <w:r>
            <w:instrText xml:space="preserve"> PAGEREF _Toc7362 \h </w:instrText>
          </w:r>
          <w:r>
            <w:fldChar w:fldCharType="separate"/>
          </w:r>
          <w:r>
            <w:t>10</w:t>
          </w:r>
          <w:r>
            <w:fldChar w:fldCharType="end"/>
          </w:r>
          <w:r>
            <w:rPr>
              <w:rFonts w:asciiTheme="minorEastAsia" w:hAnsiTheme="minorEastAsia"/>
              <w:bCs/>
              <w:szCs w:val="24"/>
              <w:lang w:val="zh-CN"/>
            </w:rPr>
            <w:fldChar w:fldCharType="end"/>
          </w:r>
        </w:p>
        <w:p>
          <w:pPr>
            <w:spacing w:line="360" w:lineRule="auto"/>
          </w:pPr>
          <w:r>
            <w:rPr>
              <w:rFonts w:asciiTheme="minorEastAsia" w:hAnsiTheme="minorEastAsia"/>
              <w:bCs/>
              <w:szCs w:val="24"/>
              <w:lang w:val="zh-CN"/>
            </w:rPr>
            <w:fldChar w:fldCharType="end"/>
          </w:r>
        </w:p>
      </w:sdtContent>
    </w:sdt>
    <w:p>
      <w:pPr>
        <w:spacing w:line="360" w:lineRule="auto"/>
        <w:rPr>
          <w:rFonts w:cs="Times New Roman" w:asciiTheme="minorEastAsia" w:hAnsiTheme="minorEastAsia"/>
          <w:color w:val="000000"/>
          <w:szCs w:val="21"/>
        </w:rPr>
      </w:pPr>
    </w:p>
    <w:p>
      <w:pPr>
        <w:spacing w:line="360" w:lineRule="auto"/>
        <w:rPr>
          <w:rFonts w:cs="Times New Roman" w:asciiTheme="minorEastAsia" w:hAnsiTheme="minorEastAsia"/>
          <w:color w:val="000000"/>
          <w:szCs w:val="21"/>
        </w:rPr>
      </w:pPr>
    </w:p>
    <w:p>
      <w:pPr>
        <w:spacing w:line="360" w:lineRule="auto"/>
        <w:rPr>
          <w:rFonts w:cs="Times New Roman" w:asciiTheme="minorEastAsia" w:hAnsiTheme="minorEastAsia"/>
          <w:color w:val="000000"/>
          <w:szCs w:val="21"/>
        </w:rPr>
      </w:pPr>
    </w:p>
    <w:p>
      <w:pPr>
        <w:spacing w:line="360" w:lineRule="auto"/>
        <w:rPr>
          <w:rFonts w:cs="Times New Roman" w:asciiTheme="minorEastAsia" w:hAnsiTheme="minorEastAsia"/>
          <w:color w:val="000000"/>
          <w:szCs w:val="21"/>
        </w:rPr>
      </w:pPr>
    </w:p>
    <w:p>
      <w:pPr>
        <w:spacing w:line="360" w:lineRule="auto"/>
        <w:rPr>
          <w:rFonts w:cs="Times New Roman" w:asciiTheme="minorEastAsia" w:hAnsiTheme="minorEastAsia"/>
          <w:color w:val="000000"/>
          <w:szCs w:val="21"/>
        </w:rPr>
      </w:pPr>
    </w:p>
    <w:p>
      <w:pPr>
        <w:spacing w:line="360" w:lineRule="auto"/>
        <w:rPr>
          <w:rFonts w:cs="Times New Roman" w:asciiTheme="minorEastAsia" w:hAnsiTheme="minorEastAsia"/>
          <w:color w:val="000000"/>
          <w:szCs w:val="21"/>
        </w:rPr>
      </w:pPr>
    </w:p>
    <w:p>
      <w:pPr>
        <w:spacing w:line="360" w:lineRule="auto"/>
        <w:rPr>
          <w:rFonts w:cs="Times New Roman" w:asciiTheme="minorEastAsia" w:hAnsiTheme="minorEastAsia"/>
          <w:color w:val="000000"/>
          <w:szCs w:val="21"/>
        </w:rPr>
      </w:pPr>
    </w:p>
    <w:p>
      <w:pPr>
        <w:spacing w:line="360" w:lineRule="auto"/>
        <w:rPr>
          <w:rFonts w:cs="Times New Roman" w:asciiTheme="minorEastAsia" w:hAnsiTheme="minorEastAsia"/>
          <w:color w:val="000000"/>
          <w:szCs w:val="21"/>
        </w:rPr>
      </w:pPr>
    </w:p>
    <w:p>
      <w:pPr>
        <w:spacing w:line="360" w:lineRule="auto"/>
        <w:rPr>
          <w:rFonts w:cs="Times New Roman" w:asciiTheme="minorEastAsia" w:hAnsiTheme="minorEastAsia"/>
          <w:color w:val="000000"/>
          <w:szCs w:val="21"/>
        </w:rPr>
      </w:pPr>
    </w:p>
    <w:p>
      <w:pPr>
        <w:spacing w:line="360" w:lineRule="auto"/>
        <w:rPr>
          <w:rFonts w:cs="Times New Roman" w:asciiTheme="minorEastAsia" w:hAnsiTheme="minorEastAsia"/>
          <w:color w:val="000000"/>
          <w:szCs w:val="21"/>
        </w:rPr>
      </w:pPr>
    </w:p>
    <w:p>
      <w:pPr>
        <w:spacing w:line="360" w:lineRule="auto"/>
        <w:rPr>
          <w:rFonts w:cs="Times New Roman" w:asciiTheme="minorEastAsia" w:hAnsiTheme="minorEastAsia"/>
          <w:color w:val="000000"/>
          <w:szCs w:val="21"/>
        </w:rPr>
      </w:pPr>
    </w:p>
    <w:p>
      <w:pPr>
        <w:pStyle w:val="2"/>
        <w:spacing w:before="0" w:after="0" w:line="360" w:lineRule="auto"/>
        <w:rPr>
          <w:rFonts w:asciiTheme="minorEastAsia" w:hAnsiTheme="minorEastAsia"/>
          <w:sz w:val="28"/>
          <w:szCs w:val="24"/>
        </w:rPr>
        <w:sectPr>
          <w:pgSz w:w="11906" w:h="16838"/>
          <w:pgMar w:top="1304" w:right="1797" w:bottom="1304" w:left="1797" w:header="851" w:footer="992" w:gutter="0"/>
          <w:cols w:space="425" w:num="1"/>
          <w:docGrid w:type="lines" w:linePitch="312" w:charSpace="0"/>
        </w:sectPr>
      </w:pPr>
    </w:p>
    <w:p>
      <w:pPr>
        <w:pStyle w:val="2"/>
        <w:spacing w:before="0" w:after="0" w:line="360" w:lineRule="auto"/>
        <w:rPr>
          <w:rFonts w:asciiTheme="minorEastAsia" w:hAnsiTheme="minorEastAsia"/>
          <w:sz w:val="28"/>
          <w:szCs w:val="24"/>
        </w:rPr>
      </w:pPr>
      <w:bookmarkStart w:id="0" w:name="_Toc2198"/>
      <w:r>
        <w:rPr>
          <w:rFonts w:hint="eastAsia" w:asciiTheme="minorEastAsia" w:hAnsiTheme="minorEastAsia"/>
          <w:sz w:val="28"/>
          <w:szCs w:val="24"/>
        </w:rPr>
        <w:t>1</w:t>
      </w:r>
      <w:r>
        <w:rPr>
          <w:rFonts w:asciiTheme="minorEastAsia" w:hAnsiTheme="minorEastAsia"/>
          <w:sz w:val="28"/>
          <w:szCs w:val="24"/>
        </w:rPr>
        <w:t xml:space="preserve">  </w:t>
      </w:r>
      <w:r>
        <w:rPr>
          <w:rFonts w:hint="eastAsia" w:asciiTheme="minorEastAsia" w:hAnsiTheme="minorEastAsia"/>
          <w:sz w:val="28"/>
          <w:szCs w:val="24"/>
        </w:rPr>
        <w:t>引言</w:t>
      </w:r>
      <w:bookmarkEnd w:id="0"/>
    </w:p>
    <w:p>
      <w:pPr>
        <w:pStyle w:val="3"/>
        <w:spacing w:before="0" w:after="0" w:line="360" w:lineRule="auto"/>
        <w:rPr>
          <w:rFonts w:asciiTheme="minorEastAsia" w:hAnsiTheme="minorEastAsia" w:eastAsiaTheme="minorEastAsia"/>
          <w:sz w:val="24"/>
          <w:szCs w:val="24"/>
        </w:rPr>
      </w:pPr>
      <w:bookmarkStart w:id="1" w:name="_Toc20914"/>
      <w:r>
        <w:rPr>
          <w:rFonts w:hint="eastAsia" w:asciiTheme="minorEastAsia" w:hAnsiTheme="minorEastAsia" w:eastAsiaTheme="minorEastAsia"/>
          <w:sz w:val="24"/>
          <w:szCs w:val="24"/>
        </w:rPr>
        <w:t>1.1</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披露依据</w:t>
      </w:r>
      <w:bookmarkEnd w:id="1"/>
    </w:p>
    <w:p>
      <w:pPr>
        <w:spacing w:line="360" w:lineRule="auto"/>
        <w:ind w:firstLine="480" w:firstLineChars="200"/>
        <w:rPr>
          <w:rFonts w:cs="Times New Roman" w:asciiTheme="minorEastAsia" w:hAnsiTheme="minorEastAsia"/>
          <w:color w:val="000000"/>
          <w:sz w:val="24"/>
          <w:szCs w:val="24"/>
        </w:rPr>
      </w:pPr>
      <w:r>
        <w:rPr>
          <w:rFonts w:hint="eastAsia" w:cs="Times New Roman" w:asciiTheme="minorEastAsia" w:hAnsiTheme="minorEastAsia"/>
          <w:color w:val="000000"/>
          <w:sz w:val="24"/>
          <w:szCs w:val="24"/>
        </w:rPr>
        <w:t>本报告根据国家金融监督管理总局令第4号《商业银行资本管理办法》编制并披露。</w:t>
      </w:r>
    </w:p>
    <w:p>
      <w:pPr>
        <w:pStyle w:val="3"/>
        <w:spacing w:before="0" w:after="0" w:line="360" w:lineRule="auto"/>
        <w:rPr>
          <w:rFonts w:asciiTheme="minorEastAsia" w:hAnsiTheme="minorEastAsia" w:eastAsiaTheme="minorEastAsia"/>
          <w:sz w:val="24"/>
          <w:szCs w:val="24"/>
        </w:rPr>
      </w:pPr>
      <w:bookmarkStart w:id="2" w:name="_Toc6117"/>
      <w:r>
        <w:rPr>
          <w:rFonts w:hint="eastAsia" w:asciiTheme="minorEastAsia" w:hAnsiTheme="minorEastAsia" w:eastAsiaTheme="minorEastAsia"/>
          <w:sz w:val="24"/>
          <w:szCs w:val="24"/>
        </w:rPr>
        <w:t>1.2</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披露声明</w:t>
      </w:r>
      <w:bookmarkEnd w:id="2"/>
    </w:p>
    <w:p>
      <w:pPr>
        <w:spacing w:line="360" w:lineRule="auto"/>
        <w:ind w:firstLine="480" w:firstLineChars="200"/>
        <w:rPr>
          <w:rFonts w:cs="Times New Roman" w:asciiTheme="minorEastAsia" w:hAnsiTheme="minorEastAsia"/>
          <w:color w:val="000000"/>
          <w:sz w:val="24"/>
          <w:szCs w:val="24"/>
        </w:rPr>
      </w:pPr>
      <w:r>
        <w:rPr>
          <w:rFonts w:hint="eastAsia" w:cs="Times New Roman" w:asciiTheme="minorEastAsia" w:hAnsiTheme="minorEastAsia"/>
          <w:color w:val="000000"/>
          <w:sz w:val="24"/>
          <w:szCs w:val="24"/>
        </w:rPr>
        <w:t>本公司已建立第三支柱信息披露管理治理架构，由本公司董事会批准并由高级管理层实施有效的内部控制流程，对信息披露内容进行合理审查，确保第三支柱披露信息真实、可靠。</w:t>
      </w:r>
    </w:p>
    <w:p>
      <w:pPr>
        <w:spacing w:line="360" w:lineRule="auto"/>
        <w:ind w:firstLine="480" w:firstLineChars="200"/>
        <w:rPr>
          <w:rFonts w:cs="Times New Roman" w:asciiTheme="minorEastAsia" w:hAnsiTheme="minorEastAsia"/>
          <w:color w:val="000000"/>
          <w:sz w:val="24"/>
          <w:szCs w:val="24"/>
        </w:rPr>
      </w:pPr>
      <w:r>
        <w:rPr>
          <w:rFonts w:hint="eastAsia" w:cs="Times New Roman" w:asciiTheme="minorEastAsia" w:hAnsiTheme="minorEastAsia"/>
          <w:color w:val="000000"/>
          <w:sz w:val="24"/>
          <w:szCs w:val="24"/>
        </w:rPr>
        <w:t>本报告是按照国家金融监督管理总局《商业银行资本管理办法》正文第九章信息披露及附件22商业银行信息披露内容和要求编制，而非财务会计准则。因此，报告中的部分资料并不能与同期财务报告的信息直接进行比较。</w:t>
      </w:r>
    </w:p>
    <w:p>
      <w:pPr>
        <w:spacing w:line="360" w:lineRule="auto"/>
        <w:ind w:firstLine="480" w:firstLineChars="200"/>
        <w:rPr>
          <w:rFonts w:cs="Times New Roman" w:asciiTheme="minorEastAsia" w:hAnsiTheme="minorEastAsia"/>
          <w:color w:val="000000"/>
          <w:sz w:val="24"/>
          <w:szCs w:val="24"/>
        </w:rPr>
      </w:pPr>
      <w:r>
        <w:rPr>
          <w:rFonts w:hint="eastAsia" w:cs="Times New Roman" w:asciiTheme="minorEastAsia" w:hAnsiTheme="minorEastAsia"/>
          <w:color w:val="000000"/>
          <w:sz w:val="24"/>
          <w:szCs w:val="24"/>
        </w:rPr>
        <w:t>本报告除特别注明外，均以千元为单位，因四舍五入可能存在数据尾差。</w:t>
      </w:r>
    </w:p>
    <w:p>
      <w:pPr>
        <w:spacing w:line="360" w:lineRule="auto"/>
        <w:rPr>
          <w:rFonts w:cs="Times New Roman" w:asciiTheme="minorEastAsia" w:hAnsiTheme="minorEastAsia"/>
          <w:color w:val="000000"/>
          <w:sz w:val="24"/>
          <w:szCs w:val="24"/>
        </w:rPr>
      </w:pPr>
    </w:p>
    <w:p>
      <w:pPr>
        <w:spacing w:line="360" w:lineRule="auto"/>
        <w:rPr>
          <w:rFonts w:cs="Times New Roman" w:asciiTheme="minorEastAsia" w:hAnsiTheme="minorEastAsia"/>
          <w:color w:val="000000"/>
          <w:sz w:val="24"/>
          <w:szCs w:val="24"/>
        </w:rPr>
      </w:pPr>
    </w:p>
    <w:p>
      <w:pPr>
        <w:spacing w:line="360" w:lineRule="auto"/>
        <w:rPr>
          <w:rFonts w:cs="Times New Roman" w:asciiTheme="minorEastAsia" w:hAnsiTheme="minorEastAsia"/>
          <w:color w:val="000000"/>
          <w:sz w:val="24"/>
          <w:szCs w:val="24"/>
        </w:rPr>
      </w:pPr>
    </w:p>
    <w:p>
      <w:pPr>
        <w:spacing w:line="360" w:lineRule="auto"/>
        <w:rPr>
          <w:rFonts w:cs="Times New Roman" w:asciiTheme="minorEastAsia" w:hAnsiTheme="minorEastAsia"/>
          <w:color w:val="000000"/>
          <w:sz w:val="24"/>
          <w:szCs w:val="24"/>
        </w:rPr>
      </w:pPr>
    </w:p>
    <w:p>
      <w:pPr>
        <w:spacing w:line="360" w:lineRule="auto"/>
        <w:rPr>
          <w:rFonts w:cs="Times New Roman" w:asciiTheme="minorEastAsia" w:hAnsiTheme="minorEastAsia"/>
          <w:color w:val="000000"/>
          <w:sz w:val="24"/>
          <w:szCs w:val="24"/>
        </w:rPr>
      </w:pPr>
    </w:p>
    <w:p>
      <w:pPr>
        <w:spacing w:line="360" w:lineRule="auto"/>
        <w:rPr>
          <w:rFonts w:cs="Times New Roman" w:asciiTheme="minorEastAsia" w:hAnsiTheme="minorEastAsia"/>
          <w:color w:val="000000"/>
          <w:sz w:val="24"/>
          <w:szCs w:val="24"/>
        </w:rPr>
      </w:pPr>
    </w:p>
    <w:p>
      <w:pPr>
        <w:spacing w:line="360" w:lineRule="auto"/>
        <w:rPr>
          <w:rFonts w:cs="Times New Roman" w:asciiTheme="minorEastAsia" w:hAnsiTheme="minorEastAsia"/>
          <w:color w:val="000000"/>
          <w:sz w:val="24"/>
          <w:szCs w:val="24"/>
        </w:rPr>
      </w:pPr>
    </w:p>
    <w:p>
      <w:pPr>
        <w:spacing w:line="360" w:lineRule="auto"/>
        <w:rPr>
          <w:rFonts w:cs="Times New Roman" w:asciiTheme="minorEastAsia" w:hAnsiTheme="minorEastAsia"/>
          <w:color w:val="000000"/>
          <w:sz w:val="24"/>
          <w:szCs w:val="24"/>
        </w:rPr>
      </w:pPr>
    </w:p>
    <w:p>
      <w:pPr>
        <w:spacing w:line="360" w:lineRule="auto"/>
        <w:rPr>
          <w:rFonts w:cs="Times New Roman" w:asciiTheme="minorEastAsia" w:hAnsiTheme="minorEastAsia"/>
          <w:color w:val="000000"/>
          <w:sz w:val="24"/>
          <w:szCs w:val="24"/>
        </w:rPr>
      </w:pPr>
    </w:p>
    <w:p>
      <w:pPr>
        <w:spacing w:line="360" w:lineRule="auto"/>
        <w:rPr>
          <w:rFonts w:cs="Times New Roman" w:asciiTheme="minorEastAsia" w:hAnsiTheme="minorEastAsia"/>
          <w:color w:val="000000"/>
          <w:sz w:val="24"/>
          <w:szCs w:val="24"/>
        </w:rPr>
      </w:pPr>
    </w:p>
    <w:p>
      <w:pPr>
        <w:spacing w:line="360" w:lineRule="auto"/>
        <w:rPr>
          <w:rFonts w:cs="Times New Roman" w:asciiTheme="minorEastAsia" w:hAnsiTheme="minorEastAsia"/>
          <w:color w:val="000000"/>
          <w:sz w:val="24"/>
          <w:szCs w:val="24"/>
        </w:rPr>
      </w:pPr>
    </w:p>
    <w:p>
      <w:pPr>
        <w:spacing w:line="360" w:lineRule="auto"/>
        <w:rPr>
          <w:rFonts w:cs="Times New Roman" w:asciiTheme="minorEastAsia" w:hAnsiTheme="minorEastAsia"/>
          <w:color w:val="000000"/>
          <w:sz w:val="24"/>
          <w:szCs w:val="24"/>
        </w:rPr>
      </w:pPr>
    </w:p>
    <w:p>
      <w:pPr>
        <w:spacing w:line="360" w:lineRule="auto"/>
        <w:rPr>
          <w:rFonts w:cs="Times New Roman" w:asciiTheme="minorEastAsia" w:hAnsiTheme="minorEastAsia"/>
          <w:color w:val="000000"/>
          <w:sz w:val="24"/>
          <w:szCs w:val="24"/>
        </w:rPr>
      </w:pPr>
    </w:p>
    <w:p>
      <w:pPr>
        <w:spacing w:line="360" w:lineRule="auto"/>
        <w:rPr>
          <w:rFonts w:cs="Times New Roman" w:asciiTheme="minorEastAsia" w:hAnsiTheme="minorEastAsia"/>
          <w:color w:val="000000"/>
          <w:sz w:val="24"/>
          <w:szCs w:val="24"/>
        </w:rPr>
      </w:pPr>
    </w:p>
    <w:p>
      <w:pPr>
        <w:spacing w:line="360" w:lineRule="auto"/>
        <w:rPr>
          <w:rFonts w:cs="Times New Roman" w:asciiTheme="minorEastAsia" w:hAnsiTheme="minorEastAsia"/>
          <w:color w:val="000000"/>
          <w:sz w:val="24"/>
          <w:szCs w:val="24"/>
        </w:rPr>
      </w:pPr>
    </w:p>
    <w:p>
      <w:pPr>
        <w:pStyle w:val="2"/>
        <w:spacing w:before="0" w:after="0" w:line="360" w:lineRule="auto"/>
        <w:rPr>
          <w:rFonts w:asciiTheme="minorEastAsia" w:hAnsiTheme="minorEastAsia"/>
          <w:sz w:val="28"/>
          <w:szCs w:val="28"/>
        </w:rPr>
      </w:pPr>
      <w:bookmarkStart w:id="3" w:name="_Toc18858"/>
      <w:r>
        <w:rPr>
          <w:rFonts w:hint="eastAsia" w:asciiTheme="minorEastAsia" w:hAnsiTheme="minorEastAsia"/>
          <w:sz w:val="28"/>
          <w:szCs w:val="28"/>
        </w:rPr>
        <w:t>2</w:t>
      </w:r>
      <w:r>
        <w:rPr>
          <w:rFonts w:asciiTheme="minorEastAsia" w:hAnsiTheme="minorEastAsia"/>
          <w:sz w:val="28"/>
          <w:szCs w:val="28"/>
        </w:rPr>
        <w:t xml:space="preserve">  </w:t>
      </w:r>
      <w:r>
        <w:rPr>
          <w:rFonts w:hint="eastAsia" w:asciiTheme="minorEastAsia" w:hAnsiTheme="minorEastAsia"/>
          <w:sz w:val="28"/>
          <w:szCs w:val="28"/>
        </w:rPr>
        <w:t>风险管理、关键审慎监管指标和风险加权资产概览</w:t>
      </w:r>
      <w:bookmarkEnd w:id="3"/>
    </w:p>
    <w:p>
      <w:pPr>
        <w:pStyle w:val="3"/>
        <w:spacing w:before="0" w:after="0" w:line="360" w:lineRule="auto"/>
        <w:rPr>
          <w:rFonts w:asciiTheme="minorEastAsia" w:hAnsiTheme="minorEastAsia" w:eastAsiaTheme="minorEastAsia"/>
          <w:sz w:val="24"/>
          <w:szCs w:val="24"/>
        </w:rPr>
      </w:pPr>
      <w:bookmarkStart w:id="4" w:name="_Toc11373"/>
      <w:r>
        <w:rPr>
          <w:rFonts w:hint="eastAsia" w:asciiTheme="minorEastAsia" w:hAnsiTheme="minorEastAsia" w:eastAsiaTheme="minorEastAsia"/>
          <w:sz w:val="24"/>
          <w:szCs w:val="24"/>
        </w:rPr>
        <w:t>2.1</w:t>
      </w:r>
      <w:r>
        <w:rPr>
          <w:rFonts w:asciiTheme="minorEastAsia" w:hAnsiTheme="minorEastAsia" w:eastAsiaTheme="minorEastAsia"/>
          <w:sz w:val="24"/>
          <w:szCs w:val="24"/>
        </w:rPr>
        <w:t xml:space="preserve">  KM1 </w:t>
      </w:r>
      <w:r>
        <w:rPr>
          <w:rFonts w:hint="eastAsia" w:asciiTheme="minorEastAsia" w:hAnsiTheme="minorEastAsia" w:eastAsiaTheme="minorEastAsia"/>
          <w:sz w:val="24"/>
          <w:szCs w:val="24"/>
        </w:rPr>
        <w:t>关键审慎监管指标</w:t>
      </w:r>
      <w:bookmarkEnd w:id="4"/>
    </w:p>
    <w:p>
      <w:pPr>
        <w:spacing w:line="360" w:lineRule="auto"/>
        <w:ind w:firstLine="480" w:firstLineChars="200"/>
        <w:rPr>
          <w:rFonts w:cs="Times New Roman" w:asciiTheme="minorEastAsia" w:hAnsiTheme="minorEastAsia"/>
          <w:color w:val="000000"/>
          <w:sz w:val="24"/>
          <w:szCs w:val="24"/>
        </w:rPr>
      </w:pPr>
      <w:r>
        <w:rPr>
          <w:rFonts w:hint="eastAsia" w:cs="Times New Roman" w:asciiTheme="minorEastAsia" w:hAnsiTheme="minorEastAsia"/>
          <w:color w:val="000000"/>
          <w:sz w:val="24"/>
          <w:szCs w:val="24"/>
        </w:rPr>
        <w:t>关键审慎监管指标包括资本充足率、杠杆率以及流动性风险相关的指标。本公司关键审慎监管指标概览如下：</w:t>
      </w:r>
    </w:p>
    <w:p>
      <w:pPr>
        <w:spacing w:line="360" w:lineRule="auto"/>
        <w:ind w:firstLine="482" w:firstLineChars="200"/>
        <w:rPr>
          <w:rFonts w:cs="Times New Roman" w:asciiTheme="minorEastAsia" w:hAnsiTheme="minorEastAsia"/>
          <w:b/>
          <w:color w:val="000000"/>
          <w:sz w:val="24"/>
          <w:szCs w:val="24"/>
        </w:rPr>
      </w:pPr>
      <w:r>
        <w:rPr>
          <w:rFonts w:hint="eastAsia" w:cs="Times New Roman" w:asciiTheme="minorEastAsia" w:hAnsiTheme="minorEastAsia"/>
          <w:b/>
          <w:color w:val="000000"/>
          <w:sz w:val="24"/>
          <w:szCs w:val="24"/>
        </w:rPr>
        <w:t>表格KM1：监管并表关键审慎监管指标</w:t>
      </w:r>
    </w:p>
    <w:p>
      <w:pPr>
        <w:spacing w:line="360" w:lineRule="auto"/>
        <w:ind w:firstLine="480" w:firstLineChars="200"/>
        <w:jc w:val="right"/>
        <w:rPr>
          <w:rFonts w:cs="Times New Roman" w:asciiTheme="minorEastAsia" w:hAnsiTheme="minorEastAsia"/>
          <w:color w:val="000000"/>
          <w:sz w:val="24"/>
          <w:szCs w:val="24"/>
        </w:rPr>
      </w:pPr>
      <w:r>
        <w:rPr>
          <w:rFonts w:hint="eastAsia" w:cs="Times New Roman" w:asciiTheme="minorEastAsia" w:hAnsiTheme="minorEastAsia"/>
          <w:color w:val="000000"/>
          <w:sz w:val="24"/>
          <w:szCs w:val="24"/>
        </w:rPr>
        <w:t>单位：人民币千元，百分比除外</w:t>
      </w:r>
    </w:p>
    <w:tbl>
      <w:tblPr>
        <w:tblStyle w:val="11"/>
        <w:tblW w:w="11289" w:type="dxa"/>
        <w:jc w:val="center"/>
        <w:tblLayout w:type="autofit"/>
        <w:tblCellMar>
          <w:top w:w="0" w:type="dxa"/>
          <w:left w:w="108" w:type="dxa"/>
          <w:bottom w:w="0" w:type="dxa"/>
          <w:right w:w="108" w:type="dxa"/>
        </w:tblCellMar>
      </w:tblPr>
      <w:tblGrid>
        <w:gridCol w:w="638"/>
        <w:gridCol w:w="2552"/>
        <w:gridCol w:w="1619"/>
        <w:gridCol w:w="1620"/>
        <w:gridCol w:w="1620"/>
        <w:gridCol w:w="1620"/>
        <w:gridCol w:w="1620"/>
      </w:tblGrid>
      <w:tr>
        <w:tblPrEx>
          <w:tblCellMar>
            <w:top w:w="0" w:type="dxa"/>
            <w:left w:w="108" w:type="dxa"/>
            <w:bottom w:w="0" w:type="dxa"/>
            <w:right w:w="108" w:type="dxa"/>
          </w:tblCellMar>
        </w:tblPrEx>
        <w:trPr>
          <w:trHeight w:val="270" w:hRule="atLeast"/>
          <w:tblHeader/>
          <w:jc w:val="center"/>
        </w:trPr>
        <w:tc>
          <w:tcPr>
            <w:tcW w:w="319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16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16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w:t>
            </w:r>
          </w:p>
        </w:tc>
        <w:tc>
          <w:tcPr>
            <w:tcW w:w="16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d</w:t>
            </w:r>
          </w:p>
        </w:tc>
        <w:tc>
          <w:tcPr>
            <w:tcW w:w="16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e</w:t>
            </w:r>
          </w:p>
        </w:tc>
      </w:tr>
      <w:tr>
        <w:tblPrEx>
          <w:tblCellMar>
            <w:top w:w="0" w:type="dxa"/>
            <w:left w:w="108" w:type="dxa"/>
            <w:bottom w:w="0" w:type="dxa"/>
            <w:right w:w="108" w:type="dxa"/>
          </w:tblCellMar>
        </w:tblPrEx>
        <w:trPr>
          <w:trHeight w:val="510" w:hRule="atLeast"/>
          <w:tblHeader/>
          <w:jc w:val="center"/>
        </w:trPr>
        <w:tc>
          <w:tcPr>
            <w:tcW w:w="319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6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2025年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12月31日</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2025年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9月30日</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2025年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6月30日</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2025年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3月31日</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2024年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12月31日</w:t>
            </w:r>
          </w:p>
        </w:tc>
      </w:tr>
      <w:tr>
        <w:tblPrEx>
          <w:tblCellMar>
            <w:top w:w="0" w:type="dxa"/>
            <w:left w:w="108" w:type="dxa"/>
            <w:bottom w:w="0" w:type="dxa"/>
            <w:right w:w="108" w:type="dxa"/>
          </w:tblCellMar>
        </w:tblPrEx>
        <w:trPr>
          <w:trHeight w:val="270" w:hRule="atLeast"/>
          <w:jc w:val="center"/>
        </w:trPr>
        <w:tc>
          <w:tcPr>
            <w:tcW w:w="11289" w:type="dxa"/>
            <w:gridSpan w:val="7"/>
            <w:tcBorders>
              <w:top w:val="single" w:color="auto" w:sz="4" w:space="0"/>
              <w:left w:val="single" w:color="auto" w:sz="4" w:space="0"/>
              <w:bottom w:val="single" w:color="auto" w:sz="4" w:space="0"/>
              <w:right w:val="single" w:color="auto" w:sz="4" w:space="0"/>
            </w:tcBorders>
            <w:shd w:val="clear" w:color="000000" w:fill="E7E6E6"/>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可用资本（数额）</w:t>
            </w:r>
          </w:p>
        </w:tc>
      </w:tr>
      <w:tr>
        <w:tblPrEx>
          <w:tblCellMar>
            <w:top w:w="0" w:type="dxa"/>
            <w:left w:w="108" w:type="dxa"/>
            <w:bottom w:w="0" w:type="dxa"/>
            <w:right w:w="108" w:type="dxa"/>
          </w:tblCellMar>
        </w:tblPrEx>
        <w:trPr>
          <w:trHeight w:val="270" w:hRule="atLeast"/>
          <w:jc w:val="center"/>
        </w:trPr>
        <w:tc>
          <w:tcPr>
            <w:tcW w:w="6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核心一级资本净额</w:t>
            </w:r>
          </w:p>
        </w:tc>
        <w:tc>
          <w:tcPr>
            <w:tcW w:w="161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19,997,554 </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20,176,035 </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20,197,108 </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19,716,447 </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19,606,006 </w:t>
            </w:r>
          </w:p>
        </w:tc>
      </w:tr>
      <w:tr>
        <w:tblPrEx>
          <w:tblCellMar>
            <w:top w:w="0" w:type="dxa"/>
            <w:left w:w="108" w:type="dxa"/>
            <w:bottom w:w="0" w:type="dxa"/>
            <w:right w:w="108" w:type="dxa"/>
          </w:tblCellMar>
        </w:tblPrEx>
        <w:trPr>
          <w:trHeight w:val="270" w:hRule="atLeast"/>
          <w:jc w:val="center"/>
        </w:trPr>
        <w:tc>
          <w:tcPr>
            <w:tcW w:w="6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一级资本净额</w:t>
            </w:r>
          </w:p>
        </w:tc>
        <w:tc>
          <w:tcPr>
            <w:tcW w:w="161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19,997,554 </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20,176,035 </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20,197,108 </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19,716,447 </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19,606,006 </w:t>
            </w:r>
          </w:p>
        </w:tc>
      </w:tr>
      <w:tr>
        <w:tblPrEx>
          <w:tblCellMar>
            <w:top w:w="0" w:type="dxa"/>
            <w:left w:w="108" w:type="dxa"/>
            <w:bottom w:w="0" w:type="dxa"/>
            <w:right w:w="108" w:type="dxa"/>
          </w:tblCellMar>
        </w:tblPrEx>
        <w:trPr>
          <w:trHeight w:val="270" w:hRule="atLeast"/>
          <w:jc w:val="center"/>
        </w:trPr>
        <w:tc>
          <w:tcPr>
            <w:tcW w:w="6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资本净额</w:t>
            </w:r>
          </w:p>
        </w:tc>
        <w:tc>
          <w:tcPr>
            <w:tcW w:w="161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24,109,000 </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23,334,854 </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24,256,581 </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23,823,740 </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23,626,846 </w:t>
            </w:r>
          </w:p>
        </w:tc>
      </w:tr>
      <w:tr>
        <w:tblPrEx>
          <w:tblCellMar>
            <w:top w:w="0" w:type="dxa"/>
            <w:left w:w="108" w:type="dxa"/>
            <w:bottom w:w="0" w:type="dxa"/>
            <w:right w:w="108" w:type="dxa"/>
          </w:tblCellMar>
        </w:tblPrEx>
        <w:trPr>
          <w:trHeight w:val="270" w:hRule="atLeast"/>
          <w:jc w:val="center"/>
        </w:trPr>
        <w:tc>
          <w:tcPr>
            <w:tcW w:w="11289" w:type="dxa"/>
            <w:gridSpan w:val="7"/>
            <w:tcBorders>
              <w:top w:val="single" w:color="auto" w:sz="4" w:space="0"/>
              <w:left w:val="single" w:color="auto" w:sz="4" w:space="0"/>
              <w:bottom w:val="single" w:color="auto" w:sz="4" w:space="0"/>
              <w:right w:val="single" w:color="auto" w:sz="4" w:space="0"/>
            </w:tcBorders>
            <w:shd w:val="clear" w:color="000000" w:fill="E7E6E6"/>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风险加权资产（数额）</w:t>
            </w:r>
          </w:p>
        </w:tc>
      </w:tr>
      <w:tr>
        <w:tblPrEx>
          <w:tblCellMar>
            <w:top w:w="0" w:type="dxa"/>
            <w:left w:w="108" w:type="dxa"/>
            <w:bottom w:w="0" w:type="dxa"/>
            <w:right w:w="108" w:type="dxa"/>
          </w:tblCellMar>
        </w:tblPrEx>
        <w:trPr>
          <w:trHeight w:val="270" w:hRule="atLeast"/>
          <w:jc w:val="center"/>
        </w:trPr>
        <w:tc>
          <w:tcPr>
            <w:tcW w:w="6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风险加权资产</w:t>
            </w:r>
          </w:p>
        </w:tc>
        <w:tc>
          <w:tcPr>
            <w:tcW w:w="161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188,269,592 </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186,459,862 </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183,812,984 </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187,787,508 </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181,810,343 </w:t>
            </w:r>
          </w:p>
        </w:tc>
      </w:tr>
      <w:tr>
        <w:tblPrEx>
          <w:tblCellMar>
            <w:top w:w="0" w:type="dxa"/>
            <w:left w:w="108" w:type="dxa"/>
            <w:bottom w:w="0" w:type="dxa"/>
            <w:right w:w="108" w:type="dxa"/>
          </w:tblCellMar>
        </w:tblPrEx>
        <w:trPr>
          <w:trHeight w:val="270" w:hRule="atLeast"/>
          <w:jc w:val="center"/>
        </w:trPr>
        <w:tc>
          <w:tcPr>
            <w:tcW w:w="11289" w:type="dxa"/>
            <w:gridSpan w:val="7"/>
            <w:tcBorders>
              <w:top w:val="single" w:color="auto" w:sz="4" w:space="0"/>
              <w:left w:val="single" w:color="auto" w:sz="4" w:space="0"/>
              <w:bottom w:val="single" w:color="auto" w:sz="4" w:space="0"/>
              <w:right w:val="single" w:color="auto" w:sz="4" w:space="0"/>
            </w:tcBorders>
            <w:shd w:val="clear" w:color="000000" w:fill="E7E6E6"/>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资本充足率</w:t>
            </w:r>
          </w:p>
        </w:tc>
      </w:tr>
      <w:tr>
        <w:tblPrEx>
          <w:tblCellMar>
            <w:top w:w="0" w:type="dxa"/>
            <w:left w:w="108" w:type="dxa"/>
            <w:bottom w:w="0" w:type="dxa"/>
            <w:right w:w="108" w:type="dxa"/>
          </w:tblCellMar>
        </w:tblPrEx>
        <w:trPr>
          <w:trHeight w:val="270" w:hRule="atLeast"/>
          <w:jc w:val="center"/>
        </w:trPr>
        <w:tc>
          <w:tcPr>
            <w:tcW w:w="6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核心一级资本充足率（%）</w:t>
            </w:r>
          </w:p>
        </w:tc>
        <w:tc>
          <w:tcPr>
            <w:tcW w:w="161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10.62</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10.82</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10.99</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10.50</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10.78</w:t>
            </w:r>
          </w:p>
        </w:tc>
      </w:tr>
      <w:tr>
        <w:tblPrEx>
          <w:tblCellMar>
            <w:top w:w="0" w:type="dxa"/>
            <w:left w:w="108" w:type="dxa"/>
            <w:bottom w:w="0" w:type="dxa"/>
            <w:right w:w="108" w:type="dxa"/>
          </w:tblCellMar>
        </w:tblPrEx>
        <w:trPr>
          <w:trHeight w:val="270" w:hRule="atLeast"/>
          <w:jc w:val="center"/>
        </w:trPr>
        <w:tc>
          <w:tcPr>
            <w:tcW w:w="6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一级资本充足率（%）</w:t>
            </w:r>
          </w:p>
        </w:tc>
        <w:tc>
          <w:tcPr>
            <w:tcW w:w="161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10.62</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10.82</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10.99</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10.50</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10.78</w:t>
            </w:r>
          </w:p>
        </w:tc>
      </w:tr>
      <w:tr>
        <w:tblPrEx>
          <w:tblCellMar>
            <w:top w:w="0" w:type="dxa"/>
            <w:left w:w="108" w:type="dxa"/>
            <w:bottom w:w="0" w:type="dxa"/>
            <w:right w:w="108" w:type="dxa"/>
          </w:tblCellMar>
        </w:tblPrEx>
        <w:trPr>
          <w:trHeight w:val="270" w:hRule="atLeast"/>
          <w:jc w:val="center"/>
        </w:trPr>
        <w:tc>
          <w:tcPr>
            <w:tcW w:w="6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资本充足率（%）</w:t>
            </w:r>
          </w:p>
        </w:tc>
        <w:tc>
          <w:tcPr>
            <w:tcW w:w="161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12.81</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12.51</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13.20</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12.69</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13.00</w:t>
            </w:r>
          </w:p>
        </w:tc>
      </w:tr>
      <w:tr>
        <w:tblPrEx>
          <w:tblCellMar>
            <w:top w:w="0" w:type="dxa"/>
            <w:left w:w="108" w:type="dxa"/>
            <w:bottom w:w="0" w:type="dxa"/>
            <w:right w:w="108" w:type="dxa"/>
          </w:tblCellMar>
        </w:tblPrEx>
        <w:trPr>
          <w:trHeight w:val="270" w:hRule="atLeast"/>
          <w:jc w:val="center"/>
        </w:trPr>
        <w:tc>
          <w:tcPr>
            <w:tcW w:w="11289" w:type="dxa"/>
            <w:gridSpan w:val="7"/>
            <w:tcBorders>
              <w:top w:val="single" w:color="auto" w:sz="4" w:space="0"/>
              <w:left w:val="single" w:color="auto" w:sz="4" w:space="0"/>
              <w:bottom w:val="single" w:color="auto" w:sz="4" w:space="0"/>
              <w:right w:val="single" w:color="auto" w:sz="4" w:space="0"/>
            </w:tcBorders>
            <w:shd w:val="clear" w:color="000000" w:fill="E7E6E6"/>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其他各级资本要求</w:t>
            </w:r>
          </w:p>
        </w:tc>
      </w:tr>
      <w:tr>
        <w:tblPrEx>
          <w:tblCellMar>
            <w:top w:w="0" w:type="dxa"/>
            <w:left w:w="108" w:type="dxa"/>
            <w:bottom w:w="0" w:type="dxa"/>
            <w:right w:w="108" w:type="dxa"/>
          </w:tblCellMar>
        </w:tblPrEx>
        <w:trPr>
          <w:trHeight w:val="270" w:hRule="atLeast"/>
          <w:jc w:val="center"/>
        </w:trPr>
        <w:tc>
          <w:tcPr>
            <w:tcW w:w="6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储备资本要求（%）</w:t>
            </w:r>
          </w:p>
        </w:tc>
        <w:tc>
          <w:tcPr>
            <w:tcW w:w="161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2.50</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2.50</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2.50</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2.50</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2.50</w:t>
            </w:r>
          </w:p>
        </w:tc>
      </w:tr>
      <w:tr>
        <w:tblPrEx>
          <w:tblCellMar>
            <w:top w:w="0" w:type="dxa"/>
            <w:left w:w="108" w:type="dxa"/>
            <w:bottom w:w="0" w:type="dxa"/>
            <w:right w:w="108" w:type="dxa"/>
          </w:tblCellMar>
        </w:tblPrEx>
        <w:trPr>
          <w:trHeight w:val="270" w:hRule="atLeast"/>
          <w:jc w:val="center"/>
        </w:trPr>
        <w:tc>
          <w:tcPr>
            <w:tcW w:w="6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逆周期资本要求（%）</w:t>
            </w:r>
          </w:p>
        </w:tc>
        <w:tc>
          <w:tcPr>
            <w:tcW w:w="161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CellMar>
            <w:top w:w="0" w:type="dxa"/>
            <w:left w:w="108" w:type="dxa"/>
            <w:bottom w:w="0" w:type="dxa"/>
            <w:right w:w="108" w:type="dxa"/>
          </w:tblCellMar>
        </w:tblPrEx>
        <w:trPr>
          <w:trHeight w:val="510" w:hRule="atLeast"/>
          <w:jc w:val="center"/>
        </w:trPr>
        <w:tc>
          <w:tcPr>
            <w:tcW w:w="6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全球系统重要性银行或国内系统重要性银行附加资本要求（%）</w:t>
            </w:r>
          </w:p>
        </w:tc>
        <w:tc>
          <w:tcPr>
            <w:tcW w:w="1619" w:type="dxa"/>
            <w:tcBorders>
              <w:top w:val="nil"/>
              <w:left w:val="nil"/>
              <w:bottom w:val="single" w:color="auto" w:sz="4" w:space="0"/>
              <w:right w:val="single" w:color="auto" w:sz="4" w:space="0"/>
            </w:tcBorders>
            <w:shd w:val="clear" w:color="000000" w:fill="E7E6E6"/>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20" w:type="dxa"/>
            <w:tcBorders>
              <w:top w:val="nil"/>
              <w:left w:val="nil"/>
              <w:bottom w:val="single" w:color="auto" w:sz="4" w:space="0"/>
              <w:right w:val="single" w:color="auto" w:sz="4" w:space="0"/>
            </w:tcBorders>
            <w:shd w:val="clear" w:color="000000" w:fill="E7E6E6"/>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20" w:type="dxa"/>
            <w:tcBorders>
              <w:top w:val="nil"/>
              <w:left w:val="nil"/>
              <w:bottom w:val="single" w:color="auto" w:sz="4" w:space="0"/>
              <w:right w:val="single" w:color="auto" w:sz="4" w:space="0"/>
            </w:tcBorders>
            <w:shd w:val="clear" w:color="000000" w:fill="E7E6E6"/>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20" w:type="dxa"/>
            <w:tcBorders>
              <w:top w:val="nil"/>
              <w:left w:val="nil"/>
              <w:bottom w:val="single" w:color="auto" w:sz="4" w:space="0"/>
              <w:right w:val="single" w:color="auto" w:sz="4" w:space="0"/>
            </w:tcBorders>
            <w:shd w:val="clear" w:color="000000" w:fill="E7E6E6"/>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20" w:type="dxa"/>
            <w:tcBorders>
              <w:top w:val="nil"/>
              <w:left w:val="nil"/>
              <w:bottom w:val="single" w:color="auto" w:sz="4" w:space="0"/>
              <w:right w:val="single" w:color="auto" w:sz="4" w:space="0"/>
            </w:tcBorders>
            <w:shd w:val="clear" w:color="000000" w:fill="E7E6E6"/>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6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其他各级资本要求（%）（8+9+10）</w:t>
            </w:r>
          </w:p>
        </w:tc>
        <w:tc>
          <w:tcPr>
            <w:tcW w:w="161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2.50</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2.50</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2.50</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2.50</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2.50</w:t>
            </w:r>
          </w:p>
        </w:tc>
      </w:tr>
      <w:tr>
        <w:tblPrEx>
          <w:tblCellMar>
            <w:top w:w="0" w:type="dxa"/>
            <w:left w:w="108" w:type="dxa"/>
            <w:bottom w:w="0" w:type="dxa"/>
            <w:right w:w="108" w:type="dxa"/>
          </w:tblCellMar>
        </w:tblPrEx>
        <w:trPr>
          <w:trHeight w:val="765" w:hRule="atLeast"/>
          <w:jc w:val="center"/>
        </w:trPr>
        <w:tc>
          <w:tcPr>
            <w:tcW w:w="6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满足最低资本要求后的可用核心一级资本净额占风险加权资产的比例（%）</w:t>
            </w:r>
          </w:p>
        </w:tc>
        <w:tc>
          <w:tcPr>
            <w:tcW w:w="161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4.62</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4.51</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4.99</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4.50</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4.78</w:t>
            </w:r>
          </w:p>
        </w:tc>
      </w:tr>
      <w:tr>
        <w:tblPrEx>
          <w:tblCellMar>
            <w:top w:w="0" w:type="dxa"/>
            <w:left w:w="108" w:type="dxa"/>
            <w:bottom w:w="0" w:type="dxa"/>
            <w:right w:w="108" w:type="dxa"/>
          </w:tblCellMar>
        </w:tblPrEx>
        <w:trPr>
          <w:trHeight w:val="270" w:hRule="atLeast"/>
          <w:jc w:val="center"/>
        </w:trPr>
        <w:tc>
          <w:tcPr>
            <w:tcW w:w="11289" w:type="dxa"/>
            <w:gridSpan w:val="7"/>
            <w:tcBorders>
              <w:top w:val="single" w:color="auto" w:sz="4" w:space="0"/>
              <w:left w:val="single" w:color="auto" w:sz="4" w:space="0"/>
              <w:bottom w:val="single" w:color="auto" w:sz="4" w:space="0"/>
              <w:right w:val="single" w:color="auto" w:sz="4" w:space="0"/>
            </w:tcBorders>
            <w:shd w:val="clear" w:color="000000" w:fill="E7E6E6"/>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杠杆率</w:t>
            </w:r>
          </w:p>
        </w:tc>
      </w:tr>
      <w:tr>
        <w:tblPrEx>
          <w:tblCellMar>
            <w:top w:w="0" w:type="dxa"/>
            <w:left w:w="108" w:type="dxa"/>
            <w:bottom w:w="0" w:type="dxa"/>
            <w:right w:w="108" w:type="dxa"/>
          </w:tblCellMar>
        </w:tblPrEx>
        <w:trPr>
          <w:trHeight w:val="270" w:hRule="atLeast"/>
          <w:jc w:val="center"/>
        </w:trPr>
        <w:tc>
          <w:tcPr>
            <w:tcW w:w="6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调整后表内外资产余额</w:t>
            </w:r>
          </w:p>
        </w:tc>
        <w:tc>
          <w:tcPr>
            <w:tcW w:w="161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316,697,881 </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309,599,786 </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292,633,892 </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307,352,280 </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301,225,105 </w:t>
            </w:r>
          </w:p>
        </w:tc>
      </w:tr>
      <w:tr>
        <w:tblPrEx>
          <w:tblCellMar>
            <w:top w:w="0" w:type="dxa"/>
            <w:left w:w="108" w:type="dxa"/>
            <w:bottom w:w="0" w:type="dxa"/>
            <w:right w:w="108" w:type="dxa"/>
          </w:tblCellMar>
        </w:tblPrEx>
        <w:trPr>
          <w:trHeight w:val="270" w:hRule="atLeast"/>
          <w:jc w:val="center"/>
        </w:trPr>
        <w:tc>
          <w:tcPr>
            <w:tcW w:w="6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杠杆率（%）</w:t>
            </w:r>
          </w:p>
        </w:tc>
        <w:tc>
          <w:tcPr>
            <w:tcW w:w="161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6.31</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6.52</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6.90</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6.41</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6.51</w:t>
            </w:r>
          </w:p>
        </w:tc>
      </w:tr>
      <w:tr>
        <w:tblPrEx>
          <w:tblCellMar>
            <w:top w:w="0" w:type="dxa"/>
            <w:left w:w="108" w:type="dxa"/>
            <w:bottom w:w="0" w:type="dxa"/>
            <w:right w:w="108" w:type="dxa"/>
          </w:tblCellMar>
        </w:tblPrEx>
        <w:trPr>
          <w:trHeight w:val="270" w:hRule="atLeast"/>
          <w:jc w:val="center"/>
        </w:trPr>
        <w:tc>
          <w:tcPr>
            <w:tcW w:w="6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14a</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杠杆率a（%）</w:t>
            </w:r>
          </w:p>
        </w:tc>
        <w:tc>
          <w:tcPr>
            <w:tcW w:w="161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6.31</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6.52</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6.90</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6.41</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6.51</w:t>
            </w:r>
          </w:p>
        </w:tc>
      </w:tr>
      <w:tr>
        <w:tblPrEx>
          <w:tblCellMar>
            <w:top w:w="0" w:type="dxa"/>
            <w:left w:w="108" w:type="dxa"/>
            <w:bottom w:w="0" w:type="dxa"/>
            <w:right w:w="108" w:type="dxa"/>
          </w:tblCellMar>
        </w:tblPrEx>
        <w:trPr>
          <w:trHeight w:val="270" w:hRule="atLeast"/>
          <w:jc w:val="center"/>
        </w:trPr>
        <w:tc>
          <w:tcPr>
            <w:tcW w:w="11289" w:type="dxa"/>
            <w:gridSpan w:val="7"/>
            <w:tcBorders>
              <w:top w:val="single" w:color="auto" w:sz="4" w:space="0"/>
              <w:left w:val="single" w:color="auto" w:sz="4" w:space="0"/>
              <w:bottom w:val="single" w:color="auto" w:sz="4" w:space="0"/>
              <w:right w:val="single" w:color="auto" w:sz="4" w:space="0"/>
            </w:tcBorders>
            <w:shd w:val="clear" w:color="000000" w:fill="E7E6E6"/>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流动性覆盖率</w:t>
            </w:r>
          </w:p>
        </w:tc>
      </w:tr>
      <w:tr>
        <w:tblPrEx>
          <w:tblCellMar>
            <w:top w:w="0" w:type="dxa"/>
            <w:left w:w="108" w:type="dxa"/>
            <w:bottom w:w="0" w:type="dxa"/>
            <w:right w:w="108" w:type="dxa"/>
          </w:tblCellMar>
        </w:tblPrEx>
        <w:trPr>
          <w:trHeight w:val="270" w:hRule="atLeast"/>
          <w:jc w:val="center"/>
        </w:trPr>
        <w:tc>
          <w:tcPr>
            <w:tcW w:w="6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合格优质流动性资产</w:t>
            </w:r>
          </w:p>
        </w:tc>
        <w:tc>
          <w:tcPr>
            <w:tcW w:w="161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26,544,718 </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22,922,237 </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26,267,147 </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38,244,628 </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27,949,840 </w:t>
            </w:r>
          </w:p>
        </w:tc>
      </w:tr>
      <w:tr>
        <w:tblPrEx>
          <w:tblCellMar>
            <w:top w:w="0" w:type="dxa"/>
            <w:left w:w="108" w:type="dxa"/>
            <w:bottom w:w="0" w:type="dxa"/>
            <w:right w:w="108" w:type="dxa"/>
          </w:tblCellMar>
        </w:tblPrEx>
        <w:trPr>
          <w:trHeight w:val="270" w:hRule="atLeast"/>
          <w:jc w:val="center"/>
        </w:trPr>
        <w:tc>
          <w:tcPr>
            <w:tcW w:w="6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现金净流出量</w:t>
            </w:r>
          </w:p>
        </w:tc>
        <w:tc>
          <w:tcPr>
            <w:tcW w:w="161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20,584,624 </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14,899,647 </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19,639,668 </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32,025,372 </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18,579,701 </w:t>
            </w:r>
          </w:p>
        </w:tc>
      </w:tr>
      <w:tr>
        <w:tblPrEx>
          <w:tblCellMar>
            <w:top w:w="0" w:type="dxa"/>
            <w:left w:w="108" w:type="dxa"/>
            <w:bottom w:w="0" w:type="dxa"/>
            <w:right w:w="108" w:type="dxa"/>
          </w:tblCellMar>
        </w:tblPrEx>
        <w:trPr>
          <w:trHeight w:val="270" w:hRule="atLeast"/>
          <w:jc w:val="center"/>
        </w:trPr>
        <w:tc>
          <w:tcPr>
            <w:tcW w:w="6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17</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流动性覆盖率（%）</w:t>
            </w:r>
          </w:p>
        </w:tc>
        <w:tc>
          <w:tcPr>
            <w:tcW w:w="161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128.95</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153.84</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133.75</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119.42</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150.43</w:t>
            </w:r>
          </w:p>
        </w:tc>
      </w:tr>
      <w:tr>
        <w:tblPrEx>
          <w:tblCellMar>
            <w:top w:w="0" w:type="dxa"/>
            <w:left w:w="108" w:type="dxa"/>
            <w:bottom w:w="0" w:type="dxa"/>
            <w:right w:w="108" w:type="dxa"/>
          </w:tblCellMar>
        </w:tblPrEx>
        <w:trPr>
          <w:trHeight w:val="270" w:hRule="atLeast"/>
          <w:jc w:val="center"/>
        </w:trPr>
        <w:tc>
          <w:tcPr>
            <w:tcW w:w="11289" w:type="dxa"/>
            <w:gridSpan w:val="7"/>
            <w:tcBorders>
              <w:top w:val="single" w:color="auto" w:sz="4" w:space="0"/>
              <w:left w:val="single" w:color="auto" w:sz="4" w:space="0"/>
              <w:bottom w:val="single" w:color="auto" w:sz="4" w:space="0"/>
              <w:right w:val="single" w:color="auto" w:sz="4" w:space="0"/>
            </w:tcBorders>
            <w:shd w:val="clear" w:color="000000" w:fill="E7E6E6"/>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净稳定资金比例</w:t>
            </w:r>
          </w:p>
        </w:tc>
      </w:tr>
      <w:tr>
        <w:tblPrEx>
          <w:tblCellMar>
            <w:top w:w="0" w:type="dxa"/>
            <w:left w:w="108" w:type="dxa"/>
            <w:bottom w:w="0" w:type="dxa"/>
            <w:right w:w="108" w:type="dxa"/>
          </w:tblCellMar>
        </w:tblPrEx>
        <w:trPr>
          <w:trHeight w:val="270" w:hRule="atLeast"/>
          <w:jc w:val="center"/>
        </w:trPr>
        <w:tc>
          <w:tcPr>
            <w:tcW w:w="6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可用稳定资金合计</w:t>
            </w:r>
          </w:p>
        </w:tc>
        <w:tc>
          <w:tcPr>
            <w:tcW w:w="161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208,758,670 </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203,518,090 </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197,495,053 </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204,044,797 </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194,994,315 </w:t>
            </w:r>
          </w:p>
        </w:tc>
      </w:tr>
      <w:tr>
        <w:tblPrEx>
          <w:tblCellMar>
            <w:top w:w="0" w:type="dxa"/>
            <w:left w:w="108" w:type="dxa"/>
            <w:bottom w:w="0" w:type="dxa"/>
            <w:right w:w="108" w:type="dxa"/>
          </w:tblCellMar>
        </w:tblPrEx>
        <w:trPr>
          <w:trHeight w:val="270" w:hRule="atLeast"/>
          <w:jc w:val="center"/>
        </w:trPr>
        <w:tc>
          <w:tcPr>
            <w:tcW w:w="6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19</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所需稳定资金合计</w:t>
            </w:r>
          </w:p>
        </w:tc>
        <w:tc>
          <w:tcPr>
            <w:tcW w:w="161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156,040,444 </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151,534,481 </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148,322,097 </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151,934,087 </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144,379,624 </w:t>
            </w:r>
          </w:p>
        </w:tc>
      </w:tr>
      <w:tr>
        <w:tblPrEx>
          <w:tblCellMar>
            <w:top w:w="0" w:type="dxa"/>
            <w:left w:w="108" w:type="dxa"/>
            <w:bottom w:w="0" w:type="dxa"/>
            <w:right w:w="108" w:type="dxa"/>
          </w:tblCellMar>
        </w:tblPrEx>
        <w:trPr>
          <w:trHeight w:val="270" w:hRule="atLeast"/>
          <w:jc w:val="center"/>
        </w:trPr>
        <w:tc>
          <w:tcPr>
            <w:tcW w:w="6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净稳定资金比例（%）</w:t>
            </w:r>
          </w:p>
        </w:tc>
        <w:tc>
          <w:tcPr>
            <w:tcW w:w="161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133.78</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134.30</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133.15</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134.30</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135.06</w:t>
            </w:r>
          </w:p>
        </w:tc>
      </w:tr>
      <w:tr>
        <w:tblPrEx>
          <w:tblCellMar>
            <w:top w:w="0" w:type="dxa"/>
            <w:left w:w="108" w:type="dxa"/>
            <w:bottom w:w="0" w:type="dxa"/>
            <w:right w:w="108" w:type="dxa"/>
          </w:tblCellMar>
        </w:tblPrEx>
        <w:trPr>
          <w:trHeight w:val="270" w:hRule="atLeast"/>
          <w:jc w:val="center"/>
        </w:trPr>
        <w:tc>
          <w:tcPr>
            <w:tcW w:w="11289" w:type="dxa"/>
            <w:gridSpan w:val="7"/>
            <w:tcBorders>
              <w:top w:val="single" w:color="auto" w:sz="4" w:space="0"/>
              <w:left w:val="single" w:color="auto" w:sz="4" w:space="0"/>
              <w:bottom w:val="single" w:color="auto" w:sz="4" w:space="0"/>
              <w:right w:val="single" w:color="auto" w:sz="4" w:space="0"/>
            </w:tcBorders>
            <w:shd w:val="clear" w:color="000000" w:fill="E7E6E6"/>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流动性比例</w:t>
            </w:r>
          </w:p>
        </w:tc>
      </w:tr>
      <w:tr>
        <w:tblPrEx>
          <w:tblCellMar>
            <w:top w:w="0" w:type="dxa"/>
            <w:left w:w="108" w:type="dxa"/>
            <w:bottom w:w="0" w:type="dxa"/>
            <w:right w:w="108" w:type="dxa"/>
          </w:tblCellMar>
        </w:tblPrEx>
        <w:trPr>
          <w:trHeight w:val="270" w:hRule="atLeast"/>
          <w:jc w:val="center"/>
        </w:trPr>
        <w:tc>
          <w:tcPr>
            <w:tcW w:w="63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21</w:t>
            </w:r>
          </w:p>
        </w:tc>
        <w:tc>
          <w:tcPr>
            <w:tcW w:w="25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流动性比例（%）</w:t>
            </w:r>
          </w:p>
        </w:tc>
        <w:tc>
          <w:tcPr>
            <w:tcW w:w="161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87.48</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74.67</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86.31</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73.59</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94.00</w:t>
            </w:r>
          </w:p>
        </w:tc>
      </w:tr>
    </w:tbl>
    <w:p>
      <w:pPr>
        <w:pStyle w:val="3"/>
        <w:spacing w:before="0" w:after="0" w:line="360" w:lineRule="auto"/>
        <w:rPr>
          <w:rFonts w:hint="eastAsia" w:asciiTheme="minorEastAsia" w:hAnsiTheme="minorEastAsia" w:eastAsiaTheme="minorEastAsia"/>
          <w:sz w:val="24"/>
          <w:szCs w:val="24"/>
        </w:rPr>
      </w:pPr>
      <w:bookmarkStart w:id="5" w:name="_Toc19552"/>
    </w:p>
    <w:p>
      <w:pPr>
        <w:pStyle w:val="3"/>
        <w:spacing w:before="0"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2.2</w:t>
      </w:r>
      <w:r>
        <w:rPr>
          <w:rFonts w:asciiTheme="minorEastAsia" w:hAnsiTheme="minorEastAsia" w:eastAsiaTheme="minorEastAsia"/>
          <w:sz w:val="24"/>
          <w:szCs w:val="24"/>
        </w:rPr>
        <w:t xml:space="preserve">  </w:t>
      </w:r>
      <w:r>
        <w:rPr>
          <w:rFonts w:hint="eastAsia" w:cs="Times New Roman" w:asciiTheme="minorEastAsia" w:hAnsiTheme="minorEastAsia"/>
          <w:color w:val="000000"/>
          <w:sz w:val="24"/>
          <w:szCs w:val="24"/>
        </w:rPr>
        <w:t>OVA 风险管理定性信息</w:t>
      </w:r>
      <w:bookmarkEnd w:id="5"/>
    </w:p>
    <w:p>
      <w:pPr>
        <w:spacing w:line="360" w:lineRule="auto"/>
        <w:ind w:firstLine="480" w:firstLineChars="200"/>
        <w:rPr>
          <w:rFonts w:hint="eastAsia" w:cs="Times New Roman" w:asciiTheme="minorEastAsia" w:hAnsiTheme="minorEastAsia"/>
          <w:color w:val="auto"/>
          <w:sz w:val="24"/>
          <w:szCs w:val="24"/>
        </w:rPr>
      </w:pPr>
      <w:r>
        <w:rPr>
          <w:rFonts w:hint="eastAsia" w:cs="Times New Roman" w:asciiTheme="minorEastAsia" w:hAnsiTheme="minorEastAsia"/>
          <w:color w:val="auto"/>
          <w:sz w:val="24"/>
          <w:szCs w:val="24"/>
        </w:rPr>
        <w:t>本公司持续加强全面风险管理，围绕全行工作主线和目标，培育风险文化，健全风控机制，提升专业能力，持续探索智能风控，强化巩固重点风险领域防范力量，坚持在风险可控前提下发展业务，积极主动应对各类风险挑战，对经营中各类风险进行准确识别、审慎评估、动态监测、及时应对及全程管理，并对相关风险管理情况及时披露。</w:t>
      </w:r>
    </w:p>
    <w:p>
      <w:pPr>
        <w:spacing w:line="360" w:lineRule="auto"/>
        <w:ind w:firstLine="480" w:firstLineChars="200"/>
        <w:rPr>
          <w:rFonts w:hint="eastAsia"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风险偏好是本公司在实现经营策略目标过程中愿意承担的风险水平的表述，并通过事前传导与事后监测手段，防止相关业务过度承担不可接受的风险或过低的风险，实现业务规模、资本回报和风险水平的合理平衡。 根据风险偏好进一步完善风险限额指标体系，设置覆盖信用风险、集中度风险、市场风险、操作风险、流动性风险、银行账簿利率风险、信息科技风险、国别风险、战略风险、洗钱和恐怖融资风险等。</w:t>
      </w:r>
    </w:p>
    <w:p>
      <w:pPr>
        <w:spacing w:line="360" w:lineRule="auto"/>
        <w:ind w:firstLine="480" w:firstLineChars="200"/>
        <w:rPr>
          <w:rFonts w:hint="eastAsia" w:cs="Times New Roman" w:asciiTheme="minorEastAsia" w:hAnsiTheme="minorEastAsia"/>
          <w:color w:val="auto"/>
          <w:sz w:val="24"/>
          <w:szCs w:val="24"/>
        </w:rPr>
      </w:pPr>
      <w:r>
        <w:rPr>
          <w:rFonts w:hint="eastAsia" w:cs="Times New Roman" w:asciiTheme="minorEastAsia" w:hAnsiTheme="minorEastAsia"/>
          <w:color w:val="auto"/>
          <w:sz w:val="24"/>
          <w:szCs w:val="24"/>
        </w:rPr>
        <w:t>本公司持续健全风险治理架构，由董事会、董事会下设的风险管理与关联交易控制委员会、高级管理层、高级管理层下设的全面风险管理委员会、业务部门、风险管理部门、审计稽核部门等构成，层次清晰、分工明确，是实现全面风险管理目标的组织保障。董事会承担全面风险管理的最终责任，下设风险管理与关联交易控制委员会，根据董事会的授权履行全面风险管理的部分职责。高级管理层按照企业章程和董事会授权，履行风险管理职责，执行董事会决策，下设全面风险管理委员会。按照全面风险统筹管理、专业风险分工负责要求，风险管理部负责全面风险管理日常工作，各类别风险管理工作在总行职能部门间进行适当分工，建立起横纵结合、相互协作、多维立体的风险管理执行落实体系，巩固强化执行成效。合规管理部门做好内部控制的建设、管理，以及合规体系的建设、管理、监督、评价。审计稽核部门对风险管理体系的全面性、可靠性、充分性和有效性实施评价，做好内部控制的监督、评价，对各类风险管理的各个组成部门和环节进行独立审计监督。</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asciiTheme="minorEastAsia" w:hAnsiTheme="minorEastAsia"/>
          <w:color w:val="auto"/>
          <w:sz w:val="24"/>
          <w:szCs w:val="24"/>
        </w:rPr>
      </w:pPr>
      <w:r>
        <w:rPr>
          <w:rFonts w:hint="eastAsia" w:cs="Times New Roman" w:asciiTheme="minorEastAsia" w:hAnsiTheme="minorEastAsia"/>
          <w:color w:val="auto"/>
          <w:sz w:val="24"/>
          <w:szCs w:val="24"/>
        </w:rPr>
        <w:t>本公司建立健全风险文化并有效传播，将风险管理理念转化为员工的共同认识、自觉行动和自我约束，强化职业道德操守，将“依法合规、稳健经营”的风险文化渗透到日常工作中，成为全体员工的共同意识和自觉习惯。遵循客观经济规律，开展金融创新业务/产品的风险评估，坚持有规可循、内控先行和效益可得。</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asciiTheme="minorEastAsia" w:hAnsiTheme="minorEastAsia"/>
          <w:color w:val="auto"/>
          <w:sz w:val="24"/>
          <w:szCs w:val="24"/>
        </w:rPr>
      </w:pPr>
      <w:r>
        <w:rPr>
          <w:rFonts w:hint="eastAsia" w:cs="Times New Roman" w:asciiTheme="minorEastAsia" w:hAnsiTheme="minorEastAsia"/>
          <w:color w:val="auto"/>
          <w:sz w:val="24"/>
          <w:szCs w:val="24"/>
        </w:rPr>
        <w:t>本公司持续开发和优化风险计量系统，风险计量系统覆盖信用风险、市场风险、操作风险和流动性风险等类型。本行依托各类风险管理系统以及配套支持体系，逐步完善事前、事中和事后风险管控机制和流程，丰富风险管控、预警手段，前移风险管控关口。</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asciiTheme="minorEastAsia" w:hAnsiTheme="minorEastAsia"/>
          <w:color w:val="auto"/>
          <w:sz w:val="24"/>
          <w:szCs w:val="24"/>
        </w:rPr>
      </w:pPr>
      <w:r>
        <w:rPr>
          <w:rFonts w:hint="eastAsia" w:cs="Times New Roman" w:asciiTheme="minorEastAsia" w:hAnsiTheme="minorEastAsia"/>
          <w:color w:val="auto"/>
          <w:sz w:val="24"/>
          <w:szCs w:val="24"/>
        </w:rPr>
        <w:t>本公司按季编制风险管理工作报告，涵盖面临的各类主要风险情况，确保信息充分共享并能够支持风险管理相关决策，报告经高级管理层审议后向董事会报告。发生重大风险事件的按相关要求进行报告。</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asciiTheme="minorEastAsia" w:hAnsiTheme="minorEastAsia"/>
          <w:color w:val="auto"/>
          <w:sz w:val="24"/>
          <w:szCs w:val="24"/>
        </w:rPr>
      </w:pPr>
      <w:r>
        <w:rPr>
          <w:rFonts w:hint="eastAsia" w:cs="Times New Roman" w:asciiTheme="minorEastAsia" w:hAnsiTheme="minorEastAsia"/>
          <w:color w:val="auto"/>
          <w:sz w:val="24"/>
          <w:szCs w:val="24"/>
        </w:rPr>
        <w:t>本公司每年定期开展压力测试，旨在评估本公司在假设情景下的风险抵御能力。压力测试覆盖各类表内外资产，基于各类风险量化模型，围绕信用风险、市场风险、流动性风险等各类风险，综合评估压力情景对资产质量和资本充足水平等各项经营指标的影响，并根据压力测试结果，优化风险管理措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asciiTheme="minorEastAsia" w:hAnsiTheme="minorEastAsia"/>
          <w:color w:val="auto"/>
          <w:sz w:val="24"/>
          <w:szCs w:val="24"/>
        </w:rPr>
      </w:pPr>
      <w:r>
        <w:rPr>
          <w:rFonts w:hint="eastAsia" w:cs="Times New Roman" w:asciiTheme="minorEastAsia" w:hAnsiTheme="minorEastAsia"/>
          <w:color w:val="auto"/>
          <w:sz w:val="24"/>
          <w:szCs w:val="24"/>
        </w:rPr>
        <w:t>本公司持续完善全面风险管理架构，优化主要风险识别、评估管理体系，由各类别风险管理部门通过有效识别和评估业务经营中面临的各种实质性风险，全面整合各类风险管理信息，准确量化风险并持续开展风险监测，综合评估整体风险状况，旨在通过对风险的主动管理和经营，持续提升风险收益和资本回报，保证持续稳健经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asciiTheme="minorEastAsia" w:hAnsiTheme="minorEastAsia"/>
          <w:color w:val="auto"/>
          <w:sz w:val="24"/>
          <w:szCs w:val="24"/>
        </w:rPr>
      </w:pPr>
      <w:r>
        <w:rPr>
          <w:rFonts w:hint="eastAsia" w:cs="Times New Roman" w:asciiTheme="minorEastAsia" w:hAnsiTheme="minorEastAsia"/>
          <w:color w:val="auto"/>
          <w:sz w:val="24"/>
          <w:szCs w:val="24"/>
        </w:rPr>
        <w:t>本公司内部资本充足评估程序包括治理架构和政策制度体系、主要类别风险、资本规划和资本补充计划、资本充足水平评估及压力测试等。每年由风险管理部牵头，采用定量与定性结合方式，完成内部资本充足评估报告，并提交董事会审议。</w:t>
      </w:r>
    </w:p>
    <w:p>
      <w:pPr>
        <w:pStyle w:val="3"/>
        <w:spacing w:before="0" w:after="0" w:line="360" w:lineRule="auto"/>
        <w:rPr>
          <w:rFonts w:hint="eastAsia" w:asciiTheme="minorEastAsia" w:hAnsiTheme="minorEastAsia" w:eastAsiaTheme="minorEastAsia"/>
          <w:sz w:val="24"/>
          <w:szCs w:val="24"/>
        </w:rPr>
      </w:pPr>
      <w:bookmarkStart w:id="6" w:name="_Toc17028"/>
    </w:p>
    <w:p>
      <w:pPr>
        <w:pStyle w:val="3"/>
        <w:spacing w:before="0"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 xml:space="preserve">3  </w:t>
      </w:r>
      <w:r>
        <w:rPr>
          <w:rFonts w:hint="eastAsia" w:cs="Times New Roman" w:asciiTheme="minorEastAsia" w:hAnsiTheme="minorEastAsia"/>
          <w:color w:val="000000"/>
          <w:sz w:val="24"/>
          <w:szCs w:val="24"/>
        </w:rPr>
        <w:t xml:space="preserve">OV1 </w:t>
      </w:r>
      <w:r>
        <w:rPr>
          <w:rFonts w:hint="eastAsia" w:asciiTheme="minorEastAsia" w:hAnsiTheme="minorEastAsia" w:eastAsiaTheme="minorEastAsia"/>
          <w:sz w:val="24"/>
          <w:szCs w:val="24"/>
        </w:rPr>
        <w:t>风险加权资产概况</w:t>
      </w:r>
      <w:bookmarkEnd w:id="6"/>
    </w:p>
    <w:p>
      <w:pPr>
        <w:spacing w:line="360" w:lineRule="auto"/>
        <w:ind w:firstLine="480" w:firstLineChars="200"/>
        <w:rPr>
          <w:rFonts w:cs="Times New Roman" w:asciiTheme="minorEastAsia" w:hAnsiTheme="minorEastAsia"/>
          <w:color w:val="000000"/>
          <w:sz w:val="24"/>
          <w:szCs w:val="24"/>
        </w:rPr>
      </w:pPr>
      <w:r>
        <w:rPr>
          <w:rFonts w:hint="eastAsia" w:cs="Times New Roman" w:asciiTheme="minorEastAsia" w:hAnsiTheme="minorEastAsia"/>
          <w:color w:val="000000"/>
          <w:sz w:val="24"/>
          <w:szCs w:val="24"/>
        </w:rPr>
        <w:t>下表列示本公司第一支柱风险加权资产和资本要求。</w:t>
      </w:r>
    </w:p>
    <w:p>
      <w:pPr>
        <w:spacing w:line="360" w:lineRule="auto"/>
        <w:ind w:firstLine="482" w:firstLineChars="200"/>
        <w:rPr>
          <w:rFonts w:cs="Times New Roman" w:asciiTheme="minorEastAsia" w:hAnsiTheme="minorEastAsia"/>
          <w:b/>
          <w:color w:val="000000"/>
          <w:sz w:val="24"/>
          <w:szCs w:val="24"/>
        </w:rPr>
      </w:pPr>
      <w:r>
        <w:rPr>
          <w:rFonts w:hint="eastAsia" w:cs="Times New Roman" w:asciiTheme="minorEastAsia" w:hAnsiTheme="minorEastAsia"/>
          <w:b/>
          <w:color w:val="000000"/>
          <w:sz w:val="24"/>
          <w:szCs w:val="24"/>
        </w:rPr>
        <w:t>表格OV1：风险加权资产概况</w:t>
      </w:r>
    </w:p>
    <w:p>
      <w:pPr>
        <w:spacing w:line="360" w:lineRule="auto"/>
        <w:ind w:firstLine="480" w:firstLineChars="200"/>
        <w:jc w:val="right"/>
        <w:rPr>
          <w:rFonts w:cs="Times New Roman" w:asciiTheme="minorEastAsia" w:hAnsiTheme="minorEastAsia"/>
          <w:color w:val="000000"/>
          <w:sz w:val="24"/>
          <w:szCs w:val="24"/>
        </w:rPr>
      </w:pPr>
      <w:r>
        <w:rPr>
          <w:rFonts w:hint="eastAsia" w:cs="Times New Roman" w:asciiTheme="minorEastAsia" w:hAnsiTheme="minorEastAsia"/>
          <w:color w:val="000000"/>
          <w:sz w:val="24"/>
          <w:szCs w:val="24"/>
        </w:rPr>
        <w:t>单位：人民币千元</w:t>
      </w:r>
    </w:p>
    <w:tbl>
      <w:tblPr>
        <w:tblStyle w:val="11"/>
        <w:tblW w:w="6235" w:type="pct"/>
        <w:jc w:val="center"/>
        <w:tblLayout w:type="autofit"/>
        <w:tblCellMar>
          <w:top w:w="0" w:type="dxa"/>
          <w:left w:w="108" w:type="dxa"/>
          <w:bottom w:w="0" w:type="dxa"/>
          <w:right w:w="108" w:type="dxa"/>
        </w:tblCellMar>
      </w:tblPr>
      <w:tblGrid>
        <w:gridCol w:w="993"/>
        <w:gridCol w:w="4290"/>
        <w:gridCol w:w="1782"/>
        <w:gridCol w:w="1778"/>
        <w:gridCol w:w="6"/>
        <w:gridCol w:w="1774"/>
        <w:gridCol w:w="11"/>
      </w:tblGrid>
      <w:tr>
        <w:tblPrEx>
          <w:tblCellMar>
            <w:top w:w="0" w:type="dxa"/>
            <w:left w:w="108" w:type="dxa"/>
            <w:bottom w:w="0" w:type="dxa"/>
            <w:right w:w="108" w:type="dxa"/>
          </w:tblCellMar>
        </w:tblPrEx>
        <w:trPr>
          <w:trHeight w:val="270" w:hRule="atLeast"/>
          <w:jc w:val="center"/>
        </w:trPr>
        <w:tc>
          <w:tcPr>
            <w:tcW w:w="2484"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83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839"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839"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w:t>
            </w:r>
          </w:p>
        </w:tc>
      </w:tr>
      <w:tr>
        <w:tblPrEx>
          <w:tblCellMar>
            <w:top w:w="0" w:type="dxa"/>
            <w:left w:w="108" w:type="dxa"/>
            <w:bottom w:w="0" w:type="dxa"/>
            <w:right w:w="108" w:type="dxa"/>
          </w:tblCellMar>
        </w:tblPrEx>
        <w:trPr>
          <w:gridAfter w:val="1"/>
          <w:wAfter w:w="5" w:type="pct"/>
          <w:trHeight w:val="270" w:hRule="atLeast"/>
          <w:jc w:val="center"/>
        </w:trPr>
        <w:tc>
          <w:tcPr>
            <w:tcW w:w="2484"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674"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风险加权资产</w:t>
            </w:r>
          </w:p>
        </w:tc>
        <w:tc>
          <w:tcPr>
            <w:tcW w:w="837"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最低资本要求</w:t>
            </w:r>
          </w:p>
        </w:tc>
      </w:tr>
      <w:tr>
        <w:tblPrEx>
          <w:tblCellMar>
            <w:top w:w="0" w:type="dxa"/>
            <w:left w:w="108" w:type="dxa"/>
            <w:bottom w:w="0" w:type="dxa"/>
            <w:right w:w="108" w:type="dxa"/>
          </w:tblCellMar>
        </w:tblPrEx>
        <w:trPr>
          <w:trHeight w:val="510" w:hRule="atLeast"/>
          <w:jc w:val="center"/>
        </w:trPr>
        <w:tc>
          <w:tcPr>
            <w:tcW w:w="2484"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83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2025年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12月31日</w:t>
            </w:r>
          </w:p>
        </w:tc>
        <w:tc>
          <w:tcPr>
            <w:tcW w:w="839"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2025年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9月30日</w:t>
            </w:r>
          </w:p>
        </w:tc>
        <w:tc>
          <w:tcPr>
            <w:tcW w:w="839"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2025年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12月31日</w:t>
            </w:r>
          </w:p>
        </w:tc>
      </w:tr>
      <w:tr>
        <w:tblPrEx>
          <w:tblCellMar>
            <w:top w:w="0" w:type="dxa"/>
            <w:left w:w="108" w:type="dxa"/>
            <w:bottom w:w="0" w:type="dxa"/>
            <w:right w:w="108" w:type="dxa"/>
          </w:tblCellMar>
        </w:tblPrEx>
        <w:trPr>
          <w:trHeight w:val="270" w:hRule="atLeast"/>
          <w:jc w:val="center"/>
        </w:trPr>
        <w:tc>
          <w:tcPr>
            <w:tcW w:w="46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01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信用风险</w:t>
            </w:r>
          </w:p>
        </w:tc>
        <w:tc>
          <w:tcPr>
            <w:tcW w:w="838"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180,828,187 </w:t>
            </w:r>
          </w:p>
        </w:tc>
        <w:tc>
          <w:tcPr>
            <w:tcW w:w="839" w:type="pct"/>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178,433,474 </w:t>
            </w:r>
          </w:p>
        </w:tc>
        <w:tc>
          <w:tcPr>
            <w:tcW w:w="839" w:type="pct"/>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14,466,255 </w:t>
            </w:r>
          </w:p>
        </w:tc>
      </w:tr>
      <w:tr>
        <w:tblPrEx>
          <w:tblCellMar>
            <w:top w:w="0" w:type="dxa"/>
            <w:left w:w="108" w:type="dxa"/>
            <w:bottom w:w="0" w:type="dxa"/>
            <w:right w:w="108" w:type="dxa"/>
          </w:tblCellMar>
        </w:tblPrEx>
        <w:trPr>
          <w:trHeight w:val="270" w:hRule="atLeast"/>
          <w:jc w:val="center"/>
        </w:trPr>
        <w:tc>
          <w:tcPr>
            <w:tcW w:w="46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01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市场风险</w:t>
            </w:r>
          </w:p>
        </w:tc>
        <w:tc>
          <w:tcPr>
            <w:tcW w:w="838"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38,956 </w:t>
            </w:r>
          </w:p>
        </w:tc>
        <w:tc>
          <w:tcPr>
            <w:tcW w:w="839" w:type="pct"/>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43,148 </w:t>
            </w:r>
          </w:p>
        </w:tc>
        <w:tc>
          <w:tcPr>
            <w:tcW w:w="839" w:type="pct"/>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3,116 </w:t>
            </w:r>
          </w:p>
        </w:tc>
      </w:tr>
      <w:tr>
        <w:tblPrEx>
          <w:tblCellMar>
            <w:top w:w="0" w:type="dxa"/>
            <w:left w:w="108" w:type="dxa"/>
            <w:bottom w:w="0" w:type="dxa"/>
            <w:right w:w="108" w:type="dxa"/>
          </w:tblCellMar>
        </w:tblPrEx>
        <w:trPr>
          <w:trHeight w:val="270" w:hRule="atLeast"/>
          <w:jc w:val="center"/>
        </w:trPr>
        <w:tc>
          <w:tcPr>
            <w:tcW w:w="46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201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操作风险</w:t>
            </w:r>
          </w:p>
        </w:tc>
        <w:tc>
          <w:tcPr>
            <w:tcW w:w="838"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7,402,449 </w:t>
            </w:r>
          </w:p>
        </w:tc>
        <w:tc>
          <w:tcPr>
            <w:tcW w:w="839" w:type="pct"/>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7,983,240 </w:t>
            </w:r>
          </w:p>
        </w:tc>
        <w:tc>
          <w:tcPr>
            <w:tcW w:w="839" w:type="pct"/>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592,196 </w:t>
            </w:r>
          </w:p>
        </w:tc>
      </w:tr>
      <w:tr>
        <w:tblPrEx>
          <w:tblCellMar>
            <w:top w:w="0" w:type="dxa"/>
            <w:left w:w="108" w:type="dxa"/>
            <w:bottom w:w="0" w:type="dxa"/>
            <w:right w:w="108" w:type="dxa"/>
          </w:tblCellMar>
        </w:tblPrEx>
        <w:trPr>
          <w:trHeight w:val="270" w:hRule="atLeast"/>
          <w:jc w:val="center"/>
        </w:trPr>
        <w:tc>
          <w:tcPr>
            <w:tcW w:w="46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201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交易账簿和银行账簿间转换的资本要求</w:t>
            </w:r>
          </w:p>
        </w:tc>
        <w:tc>
          <w:tcPr>
            <w:tcW w:w="838"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839" w:type="pct"/>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839" w:type="pct"/>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r>
      <w:tr>
        <w:tblPrEx>
          <w:tblCellMar>
            <w:top w:w="0" w:type="dxa"/>
            <w:left w:w="108" w:type="dxa"/>
            <w:bottom w:w="0" w:type="dxa"/>
            <w:right w:w="108" w:type="dxa"/>
          </w:tblCellMar>
        </w:tblPrEx>
        <w:trPr>
          <w:trHeight w:val="270" w:hRule="atLeast"/>
          <w:jc w:val="center"/>
        </w:trPr>
        <w:tc>
          <w:tcPr>
            <w:tcW w:w="46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201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合计</w:t>
            </w:r>
          </w:p>
        </w:tc>
        <w:tc>
          <w:tcPr>
            <w:tcW w:w="838"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 188,269,592 </w:t>
            </w:r>
          </w:p>
        </w:tc>
        <w:tc>
          <w:tcPr>
            <w:tcW w:w="839" w:type="pct"/>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 186,459,862 </w:t>
            </w:r>
          </w:p>
        </w:tc>
        <w:tc>
          <w:tcPr>
            <w:tcW w:w="839" w:type="pct"/>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  15,061,567 </w:t>
            </w:r>
          </w:p>
        </w:tc>
      </w:tr>
    </w:tbl>
    <w:p>
      <w:pPr>
        <w:spacing w:line="360" w:lineRule="auto"/>
        <w:jc w:val="left"/>
        <w:rPr>
          <w:rFonts w:cs="Times New Roman" w:asciiTheme="minorEastAsia" w:hAnsiTheme="minorEastAsia"/>
          <w:color w:val="000000"/>
          <w:sz w:val="24"/>
          <w:szCs w:val="24"/>
        </w:rPr>
      </w:pPr>
    </w:p>
    <w:p>
      <w:pPr>
        <w:pStyle w:val="2"/>
        <w:spacing w:before="0" w:after="0" w:line="360" w:lineRule="auto"/>
        <w:rPr>
          <w:rFonts w:asciiTheme="minorEastAsia" w:hAnsiTheme="minorEastAsia"/>
          <w:sz w:val="28"/>
          <w:szCs w:val="24"/>
        </w:rPr>
      </w:pPr>
      <w:bookmarkStart w:id="7" w:name="_Toc4625"/>
      <w:r>
        <w:rPr>
          <w:rFonts w:hint="eastAsia" w:asciiTheme="minorEastAsia" w:hAnsiTheme="minorEastAsia"/>
          <w:sz w:val="28"/>
          <w:szCs w:val="24"/>
        </w:rPr>
        <w:t>3</w:t>
      </w:r>
      <w:r>
        <w:rPr>
          <w:rFonts w:asciiTheme="minorEastAsia" w:hAnsiTheme="minorEastAsia"/>
          <w:sz w:val="28"/>
          <w:szCs w:val="24"/>
        </w:rPr>
        <w:t xml:space="preserve">  </w:t>
      </w:r>
      <w:r>
        <w:rPr>
          <w:rFonts w:hint="eastAsia" w:asciiTheme="minorEastAsia" w:hAnsiTheme="minorEastAsia"/>
          <w:sz w:val="28"/>
          <w:szCs w:val="24"/>
        </w:rPr>
        <w:t>资本构成</w:t>
      </w:r>
      <w:bookmarkEnd w:id="7"/>
    </w:p>
    <w:p>
      <w:pPr>
        <w:pStyle w:val="3"/>
        <w:spacing w:before="0" w:after="0" w:line="360" w:lineRule="auto"/>
        <w:rPr>
          <w:rFonts w:asciiTheme="minorEastAsia" w:hAnsiTheme="minorEastAsia" w:eastAsiaTheme="minorEastAsia"/>
          <w:sz w:val="24"/>
          <w:szCs w:val="24"/>
        </w:rPr>
      </w:pPr>
      <w:bookmarkStart w:id="8" w:name="_Toc12713"/>
      <w:r>
        <w:rPr>
          <w:rFonts w:hint="eastAsia" w:asciiTheme="minorEastAsia" w:hAnsiTheme="minorEastAsia" w:eastAsiaTheme="minorEastAsia"/>
          <w:sz w:val="24"/>
          <w:szCs w:val="24"/>
        </w:rPr>
        <w:t>3.1</w:t>
      </w:r>
      <w:r>
        <w:rPr>
          <w:rFonts w:asciiTheme="minorEastAsia" w:hAnsiTheme="minorEastAsia" w:eastAsiaTheme="minorEastAsia"/>
          <w:sz w:val="24"/>
          <w:szCs w:val="24"/>
        </w:rPr>
        <w:t xml:space="preserve">  </w:t>
      </w:r>
      <w:r>
        <w:rPr>
          <w:rFonts w:hint="eastAsia" w:cs="Times New Roman" w:asciiTheme="minorEastAsia" w:hAnsiTheme="minorEastAsia"/>
          <w:color w:val="000000"/>
          <w:sz w:val="24"/>
          <w:szCs w:val="24"/>
        </w:rPr>
        <w:t>CC</w:t>
      </w:r>
      <w:r>
        <w:rPr>
          <w:rFonts w:cs="Times New Roman" w:asciiTheme="minorEastAsia" w:hAnsiTheme="minorEastAsia"/>
          <w:color w:val="000000"/>
          <w:sz w:val="24"/>
          <w:szCs w:val="24"/>
        </w:rPr>
        <w:t xml:space="preserve">A </w:t>
      </w:r>
      <w:r>
        <w:rPr>
          <w:rFonts w:hint="eastAsia" w:asciiTheme="minorEastAsia" w:hAnsiTheme="minorEastAsia" w:eastAsiaTheme="minorEastAsia"/>
          <w:sz w:val="24"/>
          <w:szCs w:val="24"/>
        </w:rPr>
        <w:t>资本工具的主要特征</w:t>
      </w:r>
      <w:bookmarkEnd w:id="8"/>
    </w:p>
    <w:p>
      <w:pPr>
        <w:spacing w:line="360" w:lineRule="auto"/>
        <w:ind w:firstLine="480" w:firstLineChars="200"/>
        <w:rPr>
          <w:rFonts w:cs="Times New Roman" w:asciiTheme="minorEastAsia" w:hAnsiTheme="minorEastAsia"/>
          <w:color w:val="000000"/>
          <w:sz w:val="24"/>
          <w:szCs w:val="24"/>
        </w:rPr>
      </w:pPr>
      <w:r>
        <w:rPr>
          <w:rFonts w:hint="eastAsia" w:cs="Times New Roman" w:asciiTheme="minorEastAsia" w:hAnsiTheme="minorEastAsia"/>
          <w:color w:val="000000"/>
          <w:sz w:val="24"/>
          <w:szCs w:val="24"/>
        </w:rPr>
        <w:t>本表所披露的本公司资本工具主要特征已在官方网站公开披露，详情请见紫金农商银行官网投资者关系专栏。（官网链接：</w:t>
      </w:r>
      <w:r>
        <w:rPr>
          <w:rFonts w:cs="Times New Roman" w:asciiTheme="minorEastAsia" w:hAnsiTheme="minorEastAsia"/>
          <w:color w:val="000000"/>
          <w:sz w:val="24"/>
          <w:szCs w:val="24"/>
        </w:rPr>
        <w:t>http://www.zjrcbank.com</w:t>
      </w:r>
      <w:r>
        <w:rPr>
          <w:rFonts w:hint="eastAsia" w:cs="Times New Roman" w:asciiTheme="minorEastAsia" w:hAnsiTheme="minorEastAsia"/>
          <w:color w:val="000000"/>
          <w:sz w:val="24"/>
          <w:szCs w:val="24"/>
        </w:rPr>
        <w:t>）</w:t>
      </w:r>
    </w:p>
    <w:p>
      <w:pPr>
        <w:pStyle w:val="3"/>
        <w:spacing w:before="0" w:after="0" w:line="360" w:lineRule="auto"/>
        <w:rPr>
          <w:rFonts w:asciiTheme="minorEastAsia" w:hAnsiTheme="minorEastAsia" w:eastAsiaTheme="minorEastAsia"/>
          <w:sz w:val="24"/>
          <w:szCs w:val="24"/>
        </w:rPr>
      </w:pPr>
      <w:bookmarkStart w:id="9" w:name="_Toc31640"/>
      <w:r>
        <w:rPr>
          <w:rFonts w:hint="eastAsia" w:asciiTheme="minorEastAsia" w:hAnsiTheme="minorEastAsia" w:eastAsiaTheme="minorEastAsia"/>
          <w:sz w:val="24"/>
          <w:szCs w:val="24"/>
        </w:rPr>
        <w:t>3.2</w:t>
      </w:r>
      <w:r>
        <w:rPr>
          <w:rFonts w:asciiTheme="minorEastAsia" w:hAnsiTheme="minorEastAsia" w:eastAsiaTheme="minorEastAsia"/>
          <w:sz w:val="24"/>
          <w:szCs w:val="24"/>
        </w:rPr>
        <w:t xml:space="preserve">  </w:t>
      </w:r>
      <w:r>
        <w:rPr>
          <w:rFonts w:hint="eastAsia" w:cs="Times New Roman" w:asciiTheme="minorEastAsia" w:hAnsiTheme="minorEastAsia"/>
          <w:color w:val="000000"/>
          <w:sz w:val="24"/>
          <w:szCs w:val="24"/>
        </w:rPr>
        <w:t xml:space="preserve">CC1 </w:t>
      </w:r>
      <w:r>
        <w:rPr>
          <w:rFonts w:hint="eastAsia" w:asciiTheme="minorEastAsia" w:hAnsiTheme="minorEastAsia" w:eastAsiaTheme="minorEastAsia"/>
          <w:sz w:val="24"/>
          <w:szCs w:val="24"/>
        </w:rPr>
        <w:t>资本构成</w:t>
      </w:r>
      <w:bookmarkEnd w:id="9"/>
    </w:p>
    <w:p>
      <w:pPr>
        <w:spacing w:line="360" w:lineRule="auto"/>
        <w:ind w:firstLine="480" w:firstLineChars="200"/>
        <w:rPr>
          <w:rFonts w:cs="Times New Roman" w:asciiTheme="minorEastAsia" w:hAnsiTheme="minorEastAsia"/>
          <w:color w:val="000000"/>
          <w:sz w:val="24"/>
          <w:szCs w:val="24"/>
        </w:rPr>
      </w:pPr>
      <w:r>
        <w:rPr>
          <w:rFonts w:hint="eastAsia" w:cs="Times New Roman" w:asciiTheme="minorEastAsia" w:hAnsiTheme="minorEastAsia"/>
          <w:color w:val="000000"/>
          <w:sz w:val="24"/>
          <w:szCs w:val="24"/>
        </w:rPr>
        <w:t>下表列示本公司资本构成、最低监管资本要求及其与监管并表下的资产负债表的对应关系等。</w:t>
      </w:r>
    </w:p>
    <w:p>
      <w:pPr>
        <w:spacing w:line="360" w:lineRule="auto"/>
        <w:ind w:firstLine="482" w:firstLineChars="200"/>
        <w:rPr>
          <w:rFonts w:cs="Times New Roman" w:asciiTheme="minorEastAsia" w:hAnsiTheme="minorEastAsia"/>
          <w:b/>
          <w:color w:val="000000"/>
          <w:sz w:val="24"/>
          <w:szCs w:val="24"/>
        </w:rPr>
      </w:pPr>
      <w:r>
        <w:rPr>
          <w:rFonts w:hint="eastAsia" w:cs="Times New Roman" w:asciiTheme="minorEastAsia" w:hAnsiTheme="minorEastAsia"/>
          <w:b/>
          <w:color w:val="000000"/>
          <w:sz w:val="24"/>
          <w:szCs w:val="24"/>
        </w:rPr>
        <w:t>表格CC1：资本构成</w:t>
      </w:r>
    </w:p>
    <w:p>
      <w:pPr>
        <w:spacing w:line="360" w:lineRule="auto"/>
        <w:ind w:firstLine="480" w:firstLineChars="200"/>
        <w:jc w:val="right"/>
        <w:rPr>
          <w:rFonts w:cs="Times New Roman" w:asciiTheme="minorEastAsia" w:hAnsiTheme="minorEastAsia"/>
          <w:color w:val="000000"/>
          <w:sz w:val="24"/>
          <w:szCs w:val="24"/>
        </w:rPr>
      </w:pPr>
      <w:r>
        <w:rPr>
          <w:rFonts w:hint="eastAsia" w:cs="Times New Roman" w:asciiTheme="minorEastAsia" w:hAnsiTheme="minorEastAsia"/>
          <w:color w:val="000000"/>
          <w:sz w:val="24"/>
          <w:szCs w:val="24"/>
        </w:rPr>
        <w:t>单位：人民币千元，百分比除外</w:t>
      </w:r>
    </w:p>
    <w:tbl>
      <w:tblPr>
        <w:tblStyle w:val="11"/>
        <w:tblW w:w="6067" w:type="pct"/>
        <w:jc w:val="center"/>
        <w:tblLayout w:type="autofit"/>
        <w:tblCellMar>
          <w:top w:w="0" w:type="dxa"/>
          <w:left w:w="108" w:type="dxa"/>
          <w:bottom w:w="0" w:type="dxa"/>
          <w:right w:w="108" w:type="dxa"/>
        </w:tblCellMar>
      </w:tblPr>
      <w:tblGrid>
        <w:gridCol w:w="1134"/>
        <w:gridCol w:w="4677"/>
        <w:gridCol w:w="3119"/>
        <w:gridCol w:w="1418"/>
      </w:tblGrid>
      <w:tr>
        <w:tblPrEx>
          <w:tblCellMar>
            <w:top w:w="0" w:type="dxa"/>
            <w:left w:w="108" w:type="dxa"/>
            <w:bottom w:w="0" w:type="dxa"/>
            <w:right w:w="108" w:type="dxa"/>
          </w:tblCellMar>
        </w:tblPrEx>
        <w:trPr>
          <w:trHeight w:val="270" w:hRule="atLeast"/>
          <w:tblHeader/>
          <w:jc w:val="center"/>
        </w:trPr>
        <w:tc>
          <w:tcPr>
            <w:tcW w:w="2808"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50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68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r>
      <w:tr>
        <w:tblPrEx>
          <w:tblCellMar>
            <w:top w:w="0" w:type="dxa"/>
            <w:left w:w="108" w:type="dxa"/>
            <w:bottom w:w="0" w:type="dxa"/>
            <w:right w:w="108" w:type="dxa"/>
          </w:tblCellMar>
        </w:tblPrEx>
        <w:trPr>
          <w:trHeight w:val="270" w:hRule="atLeast"/>
          <w:tblHeader/>
          <w:jc w:val="center"/>
        </w:trPr>
        <w:tc>
          <w:tcPr>
            <w:tcW w:w="2808"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50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数额</w:t>
            </w:r>
          </w:p>
        </w:tc>
        <w:tc>
          <w:tcPr>
            <w:tcW w:w="685"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代码</w:t>
            </w:r>
          </w:p>
        </w:tc>
      </w:tr>
      <w:tr>
        <w:tblPrEx>
          <w:tblCellMar>
            <w:top w:w="0" w:type="dxa"/>
            <w:left w:w="108" w:type="dxa"/>
            <w:bottom w:w="0" w:type="dxa"/>
            <w:right w:w="108" w:type="dxa"/>
          </w:tblCellMar>
        </w:tblPrEx>
        <w:trPr>
          <w:trHeight w:val="270" w:hRule="atLeast"/>
          <w:tblHeader/>
          <w:jc w:val="center"/>
        </w:trPr>
        <w:tc>
          <w:tcPr>
            <w:tcW w:w="2808"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50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2025年12月31日</w:t>
            </w:r>
          </w:p>
        </w:tc>
        <w:tc>
          <w:tcPr>
            <w:tcW w:w="68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000000" w:fill="D9D9D9"/>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核心一级资本</w:t>
            </w:r>
          </w:p>
        </w:tc>
      </w:tr>
      <w:tr>
        <w:tblPrEx>
          <w:tblCellMar>
            <w:top w:w="0" w:type="dxa"/>
            <w:left w:w="108" w:type="dxa"/>
            <w:bottom w:w="0" w:type="dxa"/>
            <w:right w:w="108" w:type="dxa"/>
          </w:tblCellMar>
        </w:tblPrEx>
        <w:trPr>
          <w:trHeight w:val="270" w:hRule="atLeast"/>
          <w:jc w:val="center"/>
        </w:trPr>
        <w:tc>
          <w:tcPr>
            <w:tcW w:w="54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2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实收资本和资本公积可计入部分</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6,968,111 </w:t>
            </w:r>
          </w:p>
        </w:tc>
        <w:tc>
          <w:tcPr>
            <w:tcW w:w="68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e+g+k</w:t>
            </w:r>
          </w:p>
        </w:tc>
      </w:tr>
      <w:tr>
        <w:tblPrEx>
          <w:tblCellMar>
            <w:top w:w="0" w:type="dxa"/>
            <w:left w:w="108" w:type="dxa"/>
            <w:bottom w:w="0" w:type="dxa"/>
            <w:right w:w="108" w:type="dxa"/>
          </w:tblCellMar>
        </w:tblPrEx>
        <w:trPr>
          <w:trHeight w:val="270" w:hRule="atLeast"/>
          <w:jc w:val="center"/>
        </w:trPr>
        <w:tc>
          <w:tcPr>
            <w:tcW w:w="54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2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留存收益</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13,221,770 </w:t>
            </w:r>
          </w:p>
        </w:tc>
        <w:tc>
          <w:tcPr>
            <w:tcW w:w="68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2a</w:t>
            </w:r>
          </w:p>
        </w:tc>
        <w:tc>
          <w:tcPr>
            <w:tcW w:w="22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盈余公积</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3,423,894 </w:t>
            </w:r>
          </w:p>
        </w:tc>
        <w:tc>
          <w:tcPr>
            <w:tcW w:w="68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h</w:t>
            </w:r>
          </w:p>
        </w:tc>
      </w:tr>
      <w:tr>
        <w:tblPrEx>
          <w:tblCellMar>
            <w:top w:w="0" w:type="dxa"/>
            <w:left w:w="108" w:type="dxa"/>
            <w:bottom w:w="0" w:type="dxa"/>
            <w:right w:w="108" w:type="dxa"/>
          </w:tblCellMar>
        </w:tblPrEx>
        <w:trPr>
          <w:trHeight w:val="270" w:hRule="atLeast"/>
          <w:jc w:val="center"/>
        </w:trPr>
        <w:tc>
          <w:tcPr>
            <w:tcW w:w="54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2b</w:t>
            </w:r>
          </w:p>
        </w:tc>
        <w:tc>
          <w:tcPr>
            <w:tcW w:w="22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一般风险准备</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6,823,054 </w:t>
            </w:r>
          </w:p>
        </w:tc>
        <w:tc>
          <w:tcPr>
            <w:tcW w:w="68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i</w:t>
            </w:r>
          </w:p>
        </w:tc>
      </w:tr>
      <w:tr>
        <w:tblPrEx>
          <w:tblCellMar>
            <w:top w:w="0" w:type="dxa"/>
            <w:left w:w="108" w:type="dxa"/>
            <w:bottom w:w="0" w:type="dxa"/>
            <w:right w:w="108" w:type="dxa"/>
          </w:tblCellMar>
        </w:tblPrEx>
        <w:trPr>
          <w:trHeight w:val="270" w:hRule="atLeast"/>
          <w:jc w:val="center"/>
        </w:trPr>
        <w:tc>
          <w:tcPr>
            <w:tcW w:w="54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2c</w:t>
            </w:r>
          </w:p>
        </w:tc>
        <w:tc>
          <w:tcPr>
            <w:tcW w:w="22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未分配利润</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2,974,822 </w:t>
            </w:r>
          </w:p>
        </w:tc>
        <w:tc>
          <w:tcPr>
            <w:tcW w:w="68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j</w:t>
            </w:r>
          </w:p>
        </w:tc>
      </w:tr>
      <w:tr>
        <w:tblPrEx>
          <w:tblCellMar>
            <w:top w:w="0" w:type="dxa"/>
            <w:left w:w="108" w:type="dxa"/>
            <w:bottom w:w="0" w:type="dxa"/>
            <w:right w:w="108" w:type="dxa"/>
          </w:tblCellMar>
        </w:tblPrEx>
        <w:trPr>
          <w:trHeight w:val="270" w:hRule="atLeast"/>
          <w:jc w:val="center"/>
        </w:trPr>
        <w:tc>
          <w:tcPr>
            <w:tcW w:w="54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22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累计其他综合收益</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69,639 </w:t>
            </w:r>
          </w:p>
        </w:tc>
        <w:tc>
          <w:tcPr>
            <w:tcW w:w="68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22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少数股东资本可计入部分</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68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22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扣除前的核心一级资本</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           20,259,520 </w:t>
            </w:r>
          </w:p>
        </w:tc>
        <w:tc>
          <w:tcPr>
            <w:tcW w:w="68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000000" w:fill="E7E6E6"/>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核心一级资本：扣除项</w:t>
            </w: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22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审慎估值调整</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68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22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商誉（扣除递延税负债）</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68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a-c</w:t>
            </w:r>
          </w:p>
        </w:tc>
      </w:tr>
      <w:tr>
        <w:tblPrEx>
          <w:tblCellMar>
            <w:top w:w="0" w:type="dxa"/>
            <w:left w:w="108" w:type="dxa"/>
            <w:bottom w:w="0" w:type="dxa"/>
            <w:right w:w="108" w:type="dxa"/>
          </w:tblCellMar>
        </w:tblPrEx>
        <w:trPr>
          <w:trHeight w:val="510" w:hRule="atLeast"/>
          <w:jc w:val="center"/>
        </w:trPr>
        <w:tc>
          <w:tcPr>
            <w:tcW w:w="54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其他无形资产（土地使用权除外）（扣除递延税负债）</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45,061 </w:t>
            </w:r>
          </w:p>
        </w:tc>
        <w:tc>
          <w:tcPr>
            <w:tcW w:w="68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b-d</w:t>
            </w:r>
          </w:p>
        </w:tc>
      </w:tr>
      <w:tr>
        <w:tblPrEx>
          <w:tblCellMar>
            <w:top w:w="0" w:type="dxa"/>
            <w:left w:w="108" w:type="dxa"/>
            <w:bottom w:w="0" w:type="dxa"/>
            <w:right w:w="108" w:type="dxa"/>
          </w:tblCellMar>
        </w:tblPrEx>
        <w:trPr>
          <w:trHeight w:val="270" w:hRule="atLeast"/>
          <w:jc w:val="center"/>
        </w:trPr>
        <w:tc>
          <w:tcPr>
            <w:tcW w:w="54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依赖未来盈利的由经营亏损引起的净递延税资产</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510" w:hRule="atLeast"/>
          <w:jc w:val="center"/>
        </w:trPr>
        <w:tc>
          <w:tcPr>
            <w:tcW w:w="54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对未按公允价值计量的项目进行套期形成的现金流储备</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损失准备缺口</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资产证券化销售利得</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510" w:hRule="atLeast"/>
          <w:jc w:val="center"/>
        </w:trPr>
        <w:tc>
          <w:tcPr>
            <w:tcW w:w="54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自身信用风险变化导致其负债公允价值变化带来的未实现损益</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510" w:hRule="atLeast"/>
          <w:jc w:val="center"/>
        </w:trPr>
        <w:tc>
          <w:tcPr>
            <w:tcW w:w="54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确定受益类的养老金资产净额（扣除递延税负债）</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直接或间接持有本银行的股票</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510" w:hRule="atLeast"/>
          <w:jc w:val="center"/>
        </w:trPr>
        <w:tc>
          <w:tcPr>
            <w:tcW w:w="54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银行间或银行与其他金融机构间通过协议相互持有的核心一级资本</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510" w:hRule="atLeast"/>
          <w:jc w:val="center"/>
        </w:trPr>
        <w:tc>
          <w:tcPr>
            <w:tcW w:w="54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17</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对未并表金融机构小额少数资本投资中的核心一级资本中应扣除金额</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510" w:hRule="atLeast"/>
          <w:jc w:val="center"/>
        </w:trPr>
        <w:tc>
          <w:tcPr>
            <w:tcW w:w="54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对未并表金融机构大额少数资本投资中的核心一级资本中应扣除金额</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510" w:hRule="atLeast"/>
          <w:jc w:val="center"/>
        </w:trPr>
        <w:tc>
          <w:tcPr>
            <w:tcW w:w="548" w:type="pct"/>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19</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其他依赖于银行未来盈利的净递延税资产中应扣除金额</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1020" w:hRule="atLeast"/>
          <w:jc w:val="center"/>
        </w:trPr>
        <w:tc>
          <w:tcPr>
            <w:tcW w:w="548" w:type="pct"/>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对未并表金融机构大额少数资本投资中的核心一级资本和其他依赖于银行未来盈利的净递延税资产的未扣除部分超过核心一级资本15%的应扣除金额</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216,905 </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510" w:hRule="atLeast"/>
          <w:jc w:val="center"/>
        </w:trPr>
        <w:tc>
          <w:tcPr>
            <w:tcW w:w="548" w:type="pct"/>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21</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 xml:space="preserve">    其中：应在对金融机构大额少数资本投资中扣除的金额</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87,106 </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510" w:hRule="atLeast"/>
          <w:jc w:val="center"/>
        </w:trPr>
        <w:tc>
          <w:tcPr>
            <w:tcW w:w="548" w:type="pct"/>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22</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 xml:space="preserve">    其中：应在其他依赖于银行未来盈利的净递延税资产中扣除的金额</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129,799 </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8" w:type="pct"/>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23</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其他应在核心一级资本中扣除的项目合计</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8" w:type="pct"/>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应从其他一级资本和二级资本中扣除的未扣缺口</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8" w:type="pct"/>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b/>
                <w:bCs/>
                <w:color w:val="000000"/>
                <w:kern w:val="0"/>
                <w:szCs w:val="21"/>
              </w:rPr>
            </w:pPr>
            <w:r>
              <w:rPr>
                <w:rFonts w:hint="eastAsia" w:ascii="宋体" w:hAnsi="宋体" w:eastAsia="宋体" w:cs="宋体"/>
                <w:b/>
                <w:bCs/>
                <w:color w:val="000000"/>
                <w:kern w:val="0"/>
                <w:szCs w:val="21"/>
              </w:rPr>
              <w:t>核心一级资本扣除项总和</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              261,966 </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8" w:type="pct"/>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26</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b/>
                <w:bCs/>
                <w:color w:val="000000"/>
                <w:kern w:val="0"/>
                <w:szCs w:val="21"/>
              </w:rPr>
            </w:pPr>
            <w:r>
              <w:rPr>
                <w:rFonts w:hint="eastAsia" w:ascii="宋体" w:hAnsi="宋体" w:eastAsia="宋体" w:cs="宋体"/>
                <w:b/>
                <w:bCs/>
                <w:color w:val="000000"/>
                <w:kern w:val="0"/>
                <w:szCs w:val="21"/>
              </w:rPr>
              <w:t>核心一级资本净额</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           19,997,554 </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000000" w:fill="E7E6E6"/>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其他一级资本</w:t>
            </w:r>
          </w:p>
        </w:tc>
      </w:tr>
      <w:tr>
        <w:tblPrEx>
          <w:tblCellMar>
            <w:top w:w="0" w:type="dxa"/>
            <w:left w:w="108" w:type="dxa"/>
            <w:bottom w:w="0" w:type="dxa"/>
            <w:right w:w="108" w:type="dxa"/>
          </w:tblCellMar>
        </w:tblPrEx>
        <w:trPr>
          <w:trHeight w:val="270" w:hRule="atLeast"/>
          <w:jc w:val="center"/>
        </w:trPr>
        <w:tc>
          <w:tcPr>
            <w:tcW w:w="548" w:type="pct"/>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27</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其他一级资本工具及其溢价</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8" w:type="pct"/>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28</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 xml:space="preserve">    其中：权益部分</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8" w:type="pct"/>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29</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 xml:space="preserve">    其中：负债部分</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8" w:type="pct"/>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少数股东资本可计入部分</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8" w:type="pct"/>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31</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b/>
                <w:bCs/>
                <w:color w:val="000000"/>
                <w:kern w:val="0"/>
                <w:szCs w:val="21"/>
              </w:rPr>
            </w:pPr>
            <w:r>
              <w:rPr>
                <w:rFonts w:hint="eastAsia" w:ascii="宋体" w:hAnsi="宋体" w:eastAsia="宋体" w:cs="宋体"/>
                <w:b/>
                <w:bCs/>
                <w:color w:val="000000"/>
                <w:kern w:val="0"/>
                <w:szCs w:val="21"/>
              </w:rPr>
              <w:t>扣除前的其他一级资本</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                  -   </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000000" w:fill="E7E6E6"/>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其他一级资本:扣除项</w:t>
            </w:r>
          </w:p>
        </w:tc>
      </w:tr>
      <w:tr>
        <w:tblPrEx>
          <w:tblCellMar>
            <w:top w:w="0" w:type="dxa"/>
            <w:left w:w="108" w:type="dxa"/>
            <w:bottom w:w="0" w:type="dxa"/>
            <w:right w:w="108" w:type="dxa"/>
          </w:tblCellMar>
        </w:tblPrEx>
        <w:trPr>
          <w:trHeight w:val="270" w:hRule="atLeast"/>
          <w:jc w:val="center"/>
        </w:trPr>
        <w:tc>
          <w:tcPr>
            <w:tcW w:w="548" w:type="pct"/>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直接或间接持有的本银行其他一级资本</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510" w:hRule="atLeast"/>
          <w:jc w:val="center"/>
        </w:trPr>
        <w:tc>
          <w:tcPr>
            <w:tcW w:w="548" w:type="pct"/>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33</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银行间或银行与其他金融机构间通过协议相互持有的其他一级资本</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510" w:hRule="atLeast"/>
          <w:jc w:val="center"/>
        </w:trPr>
        <w:tc>
          <w:tcPr>
            <w:tcW w:w="548" w:type="pct"/>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34</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对未并表金融机构小额少数资本投资中的其他一级资本中应扣除金额</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510" w:hRule="atLeast"/>
          <w:jc w:val="center"/>
        </w:trPr>
        <w:tc>
          <w:tcPr>
            <w:tcW w:w="548" w:type="pct"/>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35</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对未并表金融机构大额少数资本投资中的其他一级资本中应扣除金额</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8" w:type="pct"/>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36</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其他应在其他一级资本中扣除的项目合计</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8" w:type="pct"/>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37</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应从二级资本中扣除的未扣缺口</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8" w:type="pct"/>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38</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b/>
                <w:bCs/>
                <w:color w:val="000000"/>
                <w:kern w:val="0"/>
                <w:szCs w:val="21"/>
              </w:rPr>
            </w:pPr>
            <w:r>
              <w:rPr>
                <w:rFonts w:hint="eastAsia" w:ascii="宋体" w:hAnsi="宋体" w:eastAsia="宋体" w:cs="宋体"/>
                <w:b/>
                <w:bCs/>
                <w:color w:val="000000"/>
                <w:kern w:val="0"/>
                <w:szCs w:val="21"/>
              </w:rPr>
              <w:t>其他一级资本扣除项总和</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                  -   </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8" w:type="pct"/>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39</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b/>
                <w:bCs/>
                <w:color w:val="000000"/>
                <w:kern w:val="0"/>
                <w:szCs w:val="21"/>
              </w:rPr>
            </w:pPr>
            <w:r>
              <w:rPr>
                <w:rFonts w:hint="eastAsia" w:ascii="宋体" w:hAnsi="宋体" w:eastAsia="宋体" w:cs="宋体"/>
                <w:b/>
                <w:bCs/>
                <w:color w:val="000000"/>
                <w:kern w:val="0"/>
                <w:szCs w:val="21"/>
              </w:rPr>
              <w:t>其他一级资本净额</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                  -   </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8" w:type="pct"/>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40</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b/>
                <w:bCs/>
                <w:color w:val="000000"/>
                <w:kern w:val="0"/>
                <w:szCs w:val="21"/>
              </w:rPr>
            </w:pPr>
            <w:r>
              <w:rPr>
                <w:rFonts w:hint="eastAsia" w:ascii="宋体" w:hAnsi="宋体" w:eastAsia="宋体" w:cs="宋体"/>
                <w:b/>
                <w:bCs/>
                <w:color w:val="000000"/>
                <w:kern w:val="0"/>
                <w:szCs w:val="21"/>
              </w:rPr>
              <w:t>一级资本净额</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           19,997,554 </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000000" w:fill="E7E6E6"/>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二级资本</w:t>
            </w:r>
          </w:p>
        </w:tc>
      </w:tr>
      <w:tr>
        <w:tblPrEx>
          <w:tblCellMar>
            <w:top w:w="0" w:type="dxa"/>
            <w:left w:w="108" w:type="dxa"/>
            <w:bottom w:w="0" w:type="dxa"/>
            <w:right w:w="108" w:type="dxa"/>
          </w:tblCellMar>
        </w:tblPrEx>
        <w:trPr>
          <w:trHeight w:val="270" w:hRule="atLeast"/>
          <w:jc w:val="center"/>
        </w:trPr>
        <w:tc>
          <w:tcPr>
            <w:tcW w:w="548" w:type="pct"/>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41</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二级资本工具及其溢价</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1,999,623 </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8" w:type="pct"/>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42</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少数股东资本可计入部分</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8" w:type="pct"/>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43</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超额损失准备可计入部分</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2,111,823 </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8" w:type="pct"/>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44</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b/>
                <w:bCs/>
                <w:color w:val="000000"/>
                <w:kern w:val="0"/>
                <w:szCs w:val="21"/>
              </w:rPr>
            </w:pPr>
            <w:r>
              <w:rPr>
                <w:rFonts w:hint="eastAsia" w:ascii="宋体" w:hAnsi="宋体" w:eastAsia="宋体" w:cs="宋体"/>
                <w:b/>
                <w:bCs/>
                <w:color w:val="000000"/>
                <w:kern w:val="0"/>
                <w:szCs w:val="21"/>
              </w:rPr>
              <w:t>扣除前的二级资本</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            4,111,446 </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000000" w:fill="E7E6E6"/>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二级资本：扣除项</w:t>
            </w:r>
          </w:p>
        </w:tc>
      </w:tr>
      <w:tr>
        <w:tblPrEx>
          <w:tblCellMar>
            <w:top w:w="0" w:type="dxa"/>
            <w:left w:w="108" w:type="dxa"/>
            <w:bottom w:w="0" w:type="dxa"/>
            <w:right w:w="108" w:type="dxa"/>
          </w:tblCellMar>
        </w:tblPrEx>
        <w:trPr>
          <w:trHeight w:val="270" w:hRule="atLeast"/>
          <w:jc w:val="center"/>
        </w:trPr>
        <w:tc>
          <w:tcPr>
            <w:tcW w:w="54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45</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直接或间接持有的本银行的二级资本</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510" w:hRule="atLeast"/>
          <w:jc w:val="center"/>
        </w:trPr>
        <w:tc>
          <w:tcPr>
            <w:tcW w:w="54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46</w:t>
            </w:r>
          </w:p>
        </w:tc>
        <w:tc>
          <w:tcPr>
            <w:tcW w:w="22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银行间或银行与其他金融机构间通过协议相互持有的其他一级资本</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510" w:hRule="atLeast"/>
          <w:jc w:val="center"/>
        </w:trPr>
        <w:tc>
          <w:tcPr>
            <w:tcW w:w="54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47</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对未并表金融机构小额少数资本投资中的二级资本中应扣除金额</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510" w:hRule="atLeast"/>
          <w:jc w:val="center"/>
        </w:trPr>
        <w:tc>
          <w:tcPr>
            <w:tcW w:w="54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48</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对未并表金融机构大额少数资本投资中的二级资本</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49</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其他应在二级资本中扣除的项目合计</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50</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b/>
                <w:bCs/>
                <w:color w:val="000000"/>
                <w:kern w:val="0"/>
                <w:szCs w:val="21"/>
              </w:rPr>
            </w:pPr>
            <w:r>
              <w:rPr>
                <w:rFonts w:hint="eastAsia" w:ascii="宋体" w:hAnsi="宋体" w:eastAsia="宋体" w:cs="宋体"/>
                <w:b/>
                <w:bCs/>
                <w:color w:val="000000"/>
                <w:kern w:val="0"/>
                <w:szCs w:val="21"/>
              </w:rPr>
              <w:t>二级资本扣除项总和</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                  -   </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51</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b/>
                <w:bCs/>
                <w:color w:val="000000"/>
                <w:kern w:val="0"/>
                <w:szCs w:val="21"/>
              </w:rPr>
            </w:pPr>
            <w:r>
              <w:rPr>
                <w:rFonts w:hint="eastAsia" w:ascii="宋体" w:hAnsi="宋体" w:eastAsia="宋体" w:cs="宋体"/>
                <w:b/>
                <w:bCs/>
                <w:color w:val="000000"/>
                <w:kern w:val="0"/>
                <w:szCs w:val="21"/>
              </w:rPr>
              <w:t>二级资本净额</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            4,111,446 </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52</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b/>
                <w:bCs/>
                <w:color w:val="000000"/>
                <w:kern w:val="0"/>
                <w:szCs w:val="21"/>
              </w:rPr>
            </w:pPr>
            <w:r>
              <w:rPr>
                <w:rFonts w:hint="eastAsia" w:ascii="宋体" w:hAnsi="宋体" w:eastAsia="宋体" w:cs="宋体"/>
                <w:b/>
                <w:bCs/>
                <w:color w:val="000000"/>
                <w:kern w:val="0"/>
                <w:szCs w:val="21"/>
              </w:rPr>
              <w:t>总资本净额</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           24,109,000 </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53</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b/>
                <w:bCs/>
                <w:color w:val="000000"/>
                <w:kern w:val="0"/>
                <w:szCs w:val="21"/>
              </w:rPr>
            </w:pPr>
            <w:r>
              <w:rPr>
                <w:rFonts w:hint="eastAsia" w:ascii="宋体" w:hAnsi="宋体" w:eastAsia="宋体" w:cs="宋体"/>
                <w:b/>
                <w:bCs/>
                <w:color w:val="000000"/>
                <w:kern w:val="0"/>
                <w:szCs w:val="21"/>
              </w:rPr>
              <w:t>风险加权资产</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          188,269,592 </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000000" w:fill="E7E6E6"/>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资本充足率和其他各级资本要求</w:t>
            </w:r>
          </w:p>
        </w:tc>
      </w:tr>
      <w:tr>
        <w:tblPrEx>
          <w:tblCellMar>
            <w:top w:w="0" w:type="dxa"/>
            <w:left w:w="108" w:type="dxa"/>
            <w:bottom w:w="0" w:type="dxa"/>
            <w:right w:w="108" w:type="dxa"/>
          </w:tblCellMar>
        </w:tblPrEx>
        <w:trPr>
          <w:trHeight w:val="270" w:hRule="atLeast"/>
          <w:jc w:val="center"/>
        </w:trPr>
        <w:tc>
          <w:tcPr>
            <w:tcW w:w="54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54</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b/>
                <w:bCs/>
                <w:color w:val="000000"/>
                <w:kern w:val="0"/>
                <w:szCs w:val="21"/>
              </w:rPr>
            </w:pPr>
            <w:r>
              <w:rPr>
                <w:rFonts w:hint="eastAsia" w:ascii="宋体" w:hAnsi="宋体" w:eastAsia="宋体" w:cs="宋体"/>
                <w:b/>
                <w:bCs/>
                <w:color w:val="000000"/>
                <w:kern w:val="0"/>
                <w:szCs w:val="21"/>
              </w:rPr>
              <w:t>核心一级资本充足率</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10.62</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55</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b/>
                <w:bCs/>
                <w:color w:val="000000"/>
                <w:kern w:val="0"/>
                <w:szCs w:val="21"/>
              </w:rPr>
            </w:pPr>
            <w:r>
              <w:rPr>
                <w:rFonts w:hint="eastAsia" w:ascii="宋体" w:hAnsi="宋体" w:eastAsia="宋体" w:cs="宋体"/>
                <w:b/>
                <w:bCs/>
                <w:color w:val="000000"/>
                <w:kern w:val="0"/>
                <w:szCs w:val="21"/>
              </w:rPr>
              <w:t>一级资本充足率</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10.62</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56</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b/>
                <w:bCs/>
                <w:color w:val="000000"/>
                <w:kern w:val="0"/>
                <w:szCs w:val="21"/>
              </w:rPr>
            </w:pPr>
            <w:r>
              <w:rPr>
                <w:rFonts w:hint="eastAsia" w:ascii="宋体" w:hAnsi="宋体" w:eastAsia="宋体" w:cs="宋体"/>
                <w:b/>
                <w:bCs/>
                <w:color w:val="000000"/>
                <w:kern w:val="0"/>
                <w:szCs w:val="21"/>
              </w:rPr>
              <w:t>资本充足率</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12.81</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57</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b/>
                <w:bCs/>
                <w:color w:val="000000"/>
                <w:kern w:val="0"/>
                <w:szCs w:val="21"/>
              </w:rPr>
            </w:pPr>
            <w:r>
              <w:rPr>
                <w:rFonts w:hint="eastAsia" w:ascii="宋体" w:hAnsi="宋体" w:eastAsia="宋体" w:cs="宋体"/>
                <w:b/>
                <w:bCs/>
                <w:color w:val="000000"/>
                <w:kern w:val="0"/>
                <w:szCs w:val="21"/>
              </w:rPr>
              <w:t>其他各级资本要求（%）</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2.50</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58</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 xml:space="preserve">    其中：储备资本要求</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2.50</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59</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 xml:space="preserve">    其中：逆周期资本要求</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510" w:hRule="atLeast"/>
          <w:jc w:val="center"/>
        </w:trPr>
        <w:tc>
          <w:tcPr>
            <w:tcW w:w="54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60</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 xml:space="preserve">    其中：全球系统重要性银行或国内系统重要性银行附加资本要求</w:t>
            </w:r>
          </w:p>
        </w:tc>
        <w:tc>
          <w:tcPr>
            <w:tcW w:w="1507" w:type="pct"/>
            <w:tcBorders>
              <w:top w:val="nil"/>
              <w:left w:val="nil"/>
              <w:bottom w:val="single" w:color="auto" w:sz="4" w:space="0"/>
              <w:right w:val="single" w:color="auto" w:sz="4" w:space="0"/>
            </w:tcBorders>
            <w:shd w:val="clear" w:color="000000" w:fill="E7E6E6"/>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510" w:hRule="atLeast"/>
          <w:jc w:val="center"/>
        </w:trPr>
        <w:tc>
          <w:tcPr>
            <w:tcW w:w="54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61</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b/>
                <w:bCs/>
                <w:color w:val="000000"/>
                <w:kern w:val="0"/>
                <w:szCs w:val="21"/>
              </w:rPr>
            </w:pPr>
            <w:r>
              <w:rPr>
                <w:rFonts w:hint="eastAsia" w:ascii="宋体" w:hAnsi="宋体" w:eastAsia="宋体" w:cs="宋体"/>
                <w:b/>
                <w:bCs/>
                <w:color w:val="000000"/>
                <w:kern w:val="0"/>
                <w:szCs w:val="21"/>
              </w:rPr>
              <w:t>满足最低资本要求后的可用核心一级资本净额占风险加权资产的比例（%）</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4.62</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000000" w:fill="E7E6E6"/>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我国最低监管资本要求</w:t>
            </w:r>
          </w:p>
        </w:tc>
      </w:tr>
      <w:tr>
        <w:tblPrEx>
          <w:tblCellMar>
            <w:top w:w="0" w:type="dxa"/>
            <w:left w:w="108" w:type="dxa"/>
            <w:bottom w:w="0" w:type="dxa"/>
            <w:right w:w="108" w:type="dxa"/>
          </w:tblCellMar>
        </w:tblPrEx>
        <w:trPr>
          <w:trHeight w:val="270" w:hRule="atLeast"/>
          <w:jc w:val="center"/>
        </w:trPr>
        <w:tc>
          <w:tcPr>
            <w:tcW w:w="54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62</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核心一级资本充足率</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5.00</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63</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一级资本充足率</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6.00</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64</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资本充足率</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8.00</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000000" w:fill="E7E6E6"/>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门槛扣除项中未扣除部分</w:t>
            </w:r>
          </w:p>
        </w:tc>
      </w:tr>
      <w:tr>
        <w:tblPrEx>
          <w:tblCellMar>
            <w:top w:w="0" w:type="dxa"/>
            <w:left w:w="108" w:type="dxa"/>
            <w:bottom w:w="0" w:type="dxa"/>
            <w:right w:w="108" w:type="dxa"/>
          </w:tblCellMar>
        </w:tblPrEx>
        <w:trPr>
          <w:trHeight w:val="510" w:hRule="atLeast"/>
          <w:jc w:val="center"/>
        </w:trPr>
        <w:tc>
          <w:tcPr>
            <w:tcW w:w="54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65</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对未并表金融机构的小额少数资本投资中未扣除部分</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510" w:hRule="atLeast"/>
          <w:jc w:val="center"/>
        </w:trPr>
        <w:tc>
          <w:tcPr>
            <w:tcW w:w="54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66</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对未并表金融机构的大额少数资本投资中未扣除部分</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1,204,601 </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510" w:hRule="atLeast"/>
          <w:jc w:val="center"/>
        </w:trPr>
        <w:tc>
          <w:tcPr>
            <w:tcW w:w="54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67</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其他依赖于银行未来盈利的净递延税资产（扣除递延税负债）</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1,795,033 </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000000" w:fill="E7E6E6"/>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可计入二级资本的超额损失准备的限额</w:t>
            </w:r>
          </w:p>
        </w:tc>
      </w:tr>
      <w:tr>
        <w:tblPrEx>
          <w:tblCellMar>
            <w:top w:w="0" w:type="dxa"/>
            <w:left w:w="108" w:type="dxa"/>
            <w:bottom w:w="0" w:type="dxa"/>
            <w:right w:w="108" w:type="dxa"/>
          </w:tblCellMar>
        </w:tblPrEx>
        <w:trPr>
          <w:trHeight w:val="270" w:hRule="atLeast"/>
          <w:jc w:val="center"/>
        </w:trPr>
        <w:tc>
          <w:tcPr>
            <w:tcW w:w="54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68</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权重法下，实际计提的超额损失准备金额</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2,111,823 </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69</w:t>
            </w:r>
          </w:p>
        </w:tc>
        <w:tc>
          <w:tcPr>
            <w:tcW w:w="22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权重法下，可计入二级资本超额损失准备的数额</w:t>
            </w:r>
          </w:p>
        </w:tc>
        <w:tc>
          <w:tcPr>
            <w:tcW w:w="1507"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2,111,823 </w:t>
            </w:r>
          </w:p>
        </w:tc>
        <w:tc>
          <w:tcPr>
            <w:tcW w:w="6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bl>
    <w:p>
      <w:pPr>
        <w:pStyle w:val="3"/>
        <w:spacing w:before="0" w:after="0"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 </w:t>
      </w:r>
      <w:bookmarkStart w:id="10" w:name="_Toc26969"/>
    </w:p>
    <w:p>
      <w:pPr>
        <w:pStyle w:val="3"/>
        <w:spacing w:before="0"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3.3</w:t>
      </w:r>
      <w:r>
        <w:rPr>
          <w:rFonts w:asciiTheme="minorEastAsia" w:hAnsiTheme="minorEastAsia" w:eastAsiaTheme="minorEastAsia"/>
          <w:sz w:val="24"/>
          <w:szCs w:val="24"/>
        </w:rPr>
        <w:t xml:space="preserve">  </w:t>
      </w:r>
      <w:r>
        <w:rPr>
          <w:rFonts w:hint="eastAsia" w:cs="Times New Roman" w:asciiTheme="minorEastAsia" w:hAnsiTheme="minorEastAsia"/>
          <w:color w:val="000000"/>
          <w:sz w:val="24"/>
          <w:szCs w:val="24"/>
        </w:rPr>
        <w:t xml:space="preserve">CC2 </w:t>
      </w:r>
      <w:r>
        <w:rPr>
          <w:rFonts w:hint="eastAsia" w:asciiTheme="minorEastAsia" w:hAnsiTheme="minorEastAsia" w:eastAsiaTheme="minorEastAsia"/>
          <w:sz w:val="24"/>
          <w:szCs w:val="24"/>
        </w:rPr>
        <w:t>集团财务并表和监管并表下的资产负债表差异</w:t>
      </w:r>
      <w:bookmarkEnd w:id="10"/>
    </w:p>
    <w:p>
      <w:pPr>
        <w:spacing w:line="360" w:lineRule="auto"/>
        <w:ind w:firstLine="480" w:firstLineChars="200"/>
        <w:rPr>
          <w:rFonts w:cs="Times New Roman" w:asciiTheme="minorEastAsia" w:hAnsiTheme="minorEastAsia"/>
          <w:color w:val="000000"/>
          <w:sz w:val="24"/>
          <w:szCs w:val="24"/>
        </w:rPr>
      </w:pPr>
      <w:r>
        <w:rPr>
          <w:rFonts w:hint="eastAsia" w:cs="Times New Roman" w:asciiTheme="minorEastAsia" w:hAnsiTheme="minorEastAsia"/>
          <w:color w:val="000000"/>
          <w:sz w:val="24"/>
          <w:szCs w:val="24"/>
        </w:rPr>
        <w:t>下表列示本公司财务并表和监管并表下的资产负债表，以及资产负债表与表格CC1披露的资本构成之间的关系。</w:t>
      </w:r>
    </w:p>
    <w:p>
      <w:pPr>
        <w:spacing w:line="360" w:lineRule="auto"/>
        <w:ind w:firstLine="482" w:firstLineChars="200"/>
        <w:rPr>
          <w:rFonts w:cs="Times New Roman" w:asciiTheme="minorEastAsia" w:hAnsiTheme="minorEastAsia"/>
          <w:b/>
          <w:color w:val="000000"/>
          <w:sz w:val="24"/>
          <w:szCs w:val="24"/>
        </w:rPr>
      </w:pPr>
      <w:r>
        <w:rPr>
          <w:rFonts w:hint="eastAsia" w:cs="Times New Roman" w:asciiTheme="minorEastAsia" w:hAnsiTheme="minorEastAsia"/>
          <w:b/>
          <w:color w:val="000000"/>
          <w:sz w:val="24"/>
          <w:szCs w:val="24"/>
        </w:rPr>
        <w:t>表格CC2：集团财务并表和监管并表下的资产负债表差异</w:t>
      </w:r>
    </w:p>
    <w:p>
      <w:pPr>
        <w:spacing w:line="360" w:lineRule="auto"/>
        <w:ind w:firstLine="480" w:firstLineChars="200"/>
        <w:jc w:val="right"/>
        <w:rPr>
          <w:rFonts w:cs="Times New Roman" w:asciiTheme="minorEastAsia" w:hAnsiTheme="minorEastAsia"/>
          <w:color w:val="000000"/>
          <w:sz w:val="24"/>
          <w:szCs w:val="24"/>
        </w:rPr>
      </w:pPr>
      <w:r>
        <w:rPr>
          <w:rFonts w:hint="eastAsia" w:cs="Times New Roman" w:asciiTheme="minorEastAsia" w:hAnsiTheme="minorEastAsia"/>
          <w:color w:val="000000"/>
          <w:sz w:val="24"/>
          <w:szCs w:val="24"/>
        </w:rPr>
        <w:t>单位：人民币千元</w:t>
      </w:r>
    </w:p>
    <w:tbl>
      <w:tblPr>
        <w:tblStyle w:val="11"/>
        <w:tblW w:w="6151" w:type="pct"/>
        <w:jc w:val="center"/>
        <w:tblLayout w:type="autofit"/>
        <w:tblCellMar>
          <w:top w:w="0" w:type="dxa"/>
          <w:left w:w="108" w:type="dxa"/>
          <w:bottom w:w="0" w:type="dxa"/>
          <w:right w:w="108" w:type="dxa"/>
        </w:tblCellMar>
      </w:tblPr>
      <w:tblGrid>
        <w:gridCol w:w="1135"/>
        <w:gridCol w:w="3827"/>
        <w:gridCol w:w="1953"/>
        <w:gridCol w:w="2014"/>
        <w:gridCol w:w="1562"/>
      </w:tblGrid>
      <w:tr>
        <w:tblPrEx>
          <w:tblCellMar>
            <w:top w:w="0" w:type="dxa"/>
            <w:left w:w="108" w:type="dxa"/>
            <w:bottom w:w="0" w:type="dxa"/>
            <w:right w:w="108" w:type="dxa"/>
          </w:tblCellMar>
        </w:tblPrEx>
        <w:trPr>
          <w:trHeight w:val="270" w:hRule="atLeast"/>
          <w:tblHeader/>
          <w:jc w:val="center"/>
        </w:trPr>
        <w:tc>
          <w:tcPr>
            <w:tcW w:w="2365"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93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96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74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w:t>
            </w:r>
          </w:p>
        </w:tc>
      </w:tr>
      <w:tr>
        <w:tblPrEx>
          <w:tblCellMar>
            <w:top w:w="0" w:type="dxa"/>
            <w:left w:w="108" w:type="dxa"/>
            <w:bottom w:w="0" w:type="dxa"/>
            <w:right w:w="108" w:type="dxa"/>
          </w:tblCellMar>
        </w:tblPrEx>
        <w:trPr>
          <w:trHeight w:val="270" w:hRule="atLeast"/>
          <w:tblHeader/>
          <w:jc w:val="center"/>
        </w:trPr>
        <w:tc>
          <w:tcPr>
            <w:tcW w:w="2365"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635"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2025年12月31日</w:t>
            </w:r>
          </w:p>
        </w:tc>
      </w:tr>
      <w:tr>
        <w:tblPrEx>
          <w:tblCellMar>
            <w:top w:w="0" w:type="dxa"/>
            <w:left w:w="108" w:type="dxa"/>
            <w:bottom w:w="0" w:type="dxa"/>
            <w:right w:w="108" w:type="dxa"/>
          </w:tblCellMar>
        </w:tblPrEx>
        <w:trPr>
          <w:trHeight w:val="510" w:hRule="atLeast"/>
          <w:tblHeader/>
          <w:jc w:val="center"/>
        </w:trPr>
        <w:tc>
          <w:tcPr>
            <w:tcW w:w="2365"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9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财务并表范围下的资产负债表</w:t>
            </w:r>
          </w:p>
        </w:tc>
        <w:tc>
          <w:tcPr>
            <w:tcW w:w="96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监管并表范围下的资产负债表</w:t>
            </w:r>
          </w:p>
        </w:tc>
        <w:tc>
          <w:tcPr>
            <w:tcW w:w="7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代码</w:t>
            </w:r>
          </w:p>
        </w:tc>
      </w:tr>
      <w:tr>
        <w:tblPrEx>
          <w:tblCellMar>
            <w:top w:w="0" w:type="dxa"/>
            <w:left w:w="108" w:type="dxa"/>
            <w:bottom w:w="0" w:type="dxa"/>
            <w:right w:w="108" w:type="dxa"/>
          </w:tblCellMar>
        </w:tblPrEx>
        <w:trPr>
          <w:trHeight w:val="270"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000000" w:fill="E7E6E6"/>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资产</w:t>
            </w:r>
          </w:p>
        </w:tc>
      </w:tr>
      <w:tr>
        <w:tblPrEx>
          <w:tblCellMar>
            <w:top w:w="0" w:type="dxa"/>
            <w:left w:w="108" w:type="dxa"/>
            <w:bottom w:w="0" w:type="dxa"/>
            <w:right w:w="108" w:type="dxa"/>
          </w:tblCellMar>
        </w:tblPrEx>
        <w:trPr>
          <w:trHeight w:val="27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8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现金及存放中央银行款项</w:t>
            </w:r>
          </w:p>
        </w:tc>
        <w:tc>
          <w:tcPr>
            <w:tcW w:w="931"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12,350,860 </w:t>
            </w:r>
          </w:p>
        </w:tc>
        <w:tc>
          <w:tcPr>
            <w:tcW w:w="96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12,350,860 </w:t>
            </w:r>
          </w:p>
        </w:tc>
        <w:tc>
          <w:tcPr>
            <w:tcW w:w="7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8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存放同业款项</w:t>
            </w:r>
          </w:p>
        </w:tc>
        <w:tc>
          <w:tcPr>
            <w:tcW w:w="931"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2,783,612 </w:t>
            </w:r>
          </w:p>
        </w:tc>
        <w:tc>
          <w:tcPr>
            <w:tcW w:w="96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2,783,612 </w:t>
            </w:r>
          </w:p>
        </w:tc>
        <w:tc>
          <w:tcPr>
            <w:tcW w:w="7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8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拆出资金</w:t>
            </w:r>
          </w:p>
        </w:tc>
        <w:tc>
          <w:tcPr>
            <w:tcW w:w="931"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7,063,143 </w:t>
            </w:r>
          </w:p>
        </w:tc>
        <w:tc>
          <w:tcPr>
            <w:tcW w:w="96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7,063,143 </w:t>
            </w:r>
          </w:p>
        </w:tc>
        <w:tc>
          <w:tcPr>
            <w:tcW w:w="7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8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衍生金融资产</w:t>
            </w:r>
          </w:p>
        </w:tc>
        <w:tc>
          <w:tcPr>
            <w:tcW w:w="931"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96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7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8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买入返售金融资产</w:t>
            </w:r>
          </w:p>
        </w:tc>
        <w:tc>
          <w:tcPr>
            <w:tcW w:w="931"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10,533,346 </w:t>
            </w:r>
          </w:p>
        </w:tc>
        <w:tc>
          <w:tcPr>
            <w:tcW w:w="96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10,533,346 </w:t>
            </w:r>
          </w:p>
        </w:tc>
        <w:tc>
          <w:tcPr>
            <w:tcW w:w="7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18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发放贷款和垫款</w:t>
            </w:r>
          </w:p>
        </w:tc>
        <w:tc>
          <w:tcPr>
            <w:tcW w:w="931"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190,461,756 </w:t>
            </w:r>
          </w:p>
        </w:tc>
        <w:tc>
          <w:tcPr>
            <w:tcW w:w="96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190,461,756 </w:t>
            </w:r>
          </w:p>
        </w:tc>
        <w:tc>
          <w:tcPr>
            <w:tcW w:w="7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18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金融投资</w:t>
            </w:r>
          </w:p>
        </w:tc>
        <w:tc>
          <w:tcPr>
            <w:tcW w:w="931"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62,396,268 </w:t>
            </w:r>
          </w:p>
        </w:tc>
        <w:tc>
          <w:tcPr>
            <w:tcW w:w="96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62,396,268 </w:t>
            </w:r>
          </w:p>
        </w:tc>
        <w:tc>
          <w:tcPr>
            <w:tcW w:w="7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1824" w:type="pct"/>
            <w:tcBorders>
              <w:top w:val="nil"/>
              <w:left w:val="nil"/>
              <w:bottom w:val="single" w:color="auto" w:sz="4" w:space="0"/>
              <w:right w:val="single" w:color="auto" w:sz="4" w:space="0"/>
            </w:tcBorders>
            <w:shd w:val="clear" w:color="auto" w:fill="auto"/>
            <w:vAlign w:val="center"/>
          </w:tcPr>
          <w:p>
            <w:pPr>
              <w:widowControl/>
              <w:ind w:firstLine="210" w:firstLineChars="100"/>
              <w:jc w:val="left"/>
              <w:rPr>
                <w:rFonts w:ascii="宋体" w:hAnsi="宋体" w:eastAsia="宋体" w:cs="宋体"/>
                <w:color w:val="000000"/>
                <w:kern w:val="0"/>
                <w:szCs w:val="21"/>
              </w:rPr>
            </w:pPr>
            <w:r>
              <w:rPr>
                <w:rFonts w:hint="eastAsia" w:ascii="宋体" w:hAnsi="宋体" w:eastAsia="宋体" w:cs="宋体"/>
                <w:color w:val="000000"/>
                <w:kern w:val="0"/>
                <w:szCs w:val="21"/>
              </w:rPr>
              <w:t>其中：交易性金融资产</w:t>
            </w:r>
          </w:p>
        </w:tc>
        <w:tc>
          <w:tcPr>
            <w:tcW w:w="931"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185,812 </w:t>
            </w:r>
          </w:p>
        </w:tc>
        <w:tc>
          <w:tcPr>
            <w:tcW w:w="96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185,812 </w:t>
            </w:r>
          </w:p>
        </w:tc>
        <w:tc>
          <w:tcPr>
            <w:tcW w:w="7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1824" w:type="pct"/>
            <w:tcBorders>
              <w:top w:val="nil"/>
              <w:left w:val="nil"/>
              <w:bottom w:val="single" w:color="auto" w:sz="4" w:space="0"/>
              <w:right w:val="single" w:color="auto" w:sz="4" w:space="0"/>
            </w:tcBorders>
            <w:shd w:val="clear" w:color="auto" w:fill="auto"/>
            <w:vAlign w:val="center"/>
          </w:tcPr>
          <w:p>
            <w:pPr>
              <w:widowControl/>
              <w:ind w:firstLine="210" w:firstLineChars="100"/>
              <w:jc w:val="left"/>
              <w:rPr>
                <w:rFonts w:ascii="宋体" w:hAnsi="宋体" w:eastAsia="宋体" w:cs="宋体"/>
                <w:color w:val="000000"/>
                <w:kern w:val="0"/>
                <w:szCs w:val="21"/>
              </w:rPr>
            </w:pPr>
            <w:r>
              <w:rPr>
                <w:rFonts w:hint="eastAsia" w:ascii="宋体" w:hAnsi="宋体" w:eastAsia="宋体" w:cs="宋体"/>
                <w:color w:val="000000"/>
                <w:kern w:val="0"/>
                <w:szCs w:val="21"/>
              </w:rPr>
              <w:t>其中：债权投资</w:t>
            </w:r>
          </w:p>
        </w:tc>
        <w:tc>
          <w:tcPr>
            <w:tcW w:w="931"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14,062,333 </w:t>
            </w:r>
          </w:p>
        </w:tc>
        <w:tc>
          <w:tcPr>
            <w:tcW w:w="96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14,062,333 </w:t>
            </w:r>
          </w:p>
        </w:tc>
        <w:tc>
          <w:tcPr>
            <w:tcW w:w="7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1824" w:type="pct"/>
            <w:tcBorders>
              <w:top w:val="nil"/>
              <w:left w:val="nil"/>
              <w:bottom w:val="single" w:color="auto" w:sz="4" w:space="0"/>
              <w:right w:val="single" w:color="auto" w:sz="4" w:space="0"/>
            </w:tcBorders>
            <w:shd w:val="clear" w:color="auto" w:fill="auto"/>
            <w:vAlign w:val="center"/>
          </w:tcPr>
          <w:p>
            <w:pPr>
              <w:widowControl/>
              <w:ind w:firstLine="210" w:firstLineChars="100"/>
              <w:jc w:val="left"/>
              <w:rPr>
                <w:rFonts w:ascii="宋体" w:hAnsi="宋体" w:eastAsia="宋体" w:cs="宋体"/>
                <w:color w:val="000000"/>
                <w:kern w:val="0"/>
                <w:szCs w:val="21"/>
              </w:rPr>
            </w:pPr>
            <w:r>
              <w:rPr>
                <w:rFonts w:hint="eastAsia" w:ascii="宋体" w:hAnsi="宋体" w:eastAsia="宋体" w:cs="宋体"/>
                <w:color w:val="000000"/>
                <w:kern w:val="0"/>
                <w:szCs w:val="21"/>
              </w:rPr>
              <w:t>其中：其他债权投资</w:t>
            </w:r>
          </w:p>
        </w:tc>
        <w:tc>
          <w:tcPr>
            <w:tcW w:w="931"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48,148,123 </w:t>
            </w:r>
          </w:p>
        </w:tc>
        <w:tc>
          <w:tcPr>
            <w:tcW w:w="96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48,148,123 </w:t>
            </w:r>
          </w:p>
        </w:tc>
        <w:tc>
          <w:tcPr>
            <w:tcW w:w="7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1824" w:type="pct"/>
            <w:tcBorders>
              <w:top w:val="nil"/>
              <w:left w:val="nil"/>
              <w:bottom w:val="single" w:color="auto" w:sz="4" w:space="0"/>
              <w:right w:val="single" w:color="auto" w:sz="4" w:space="0"/>
            </w:tcBorders>
            <w:shd w:val="clear" w:color="auto" w:fill="auto"/>
            <w:vAlign w:val="center"/>
          </w:tcPr>
          <w:p>
            <w:pPr>
              <w:widowControl/>
              <w:ind w:firstLine="210" w:firstLineChars="100"/>
              <w:jc w:val="left"/>
              <w:rPr>
                <w:rFonts w:ascii="宋体" w:hAnsi="宋体" w:eastAsia="宋体" w:cs="宋体"/>
                <w:color w:val="000000"/>
                <w:kern w:val="0"/>
                <w:szCs w:val="21"/>
              </w:rPr>
            </w:pPr>
            <w:r>
              <w:rPr>
                <w:rFonts w:hint="eastAsia" w:ascii="宋体" w:hAnsi="宋体" w:eastAsia="宋体" w:cs="宋体"/>
                <w:color w:val="000000"/>
                <w:kern w:val="0"/>
                <w:szCs w:val="21"/>
              </w:rPr>
              <w:t>其中：其他权益工具投资</w:t>
            </w:r>
          </w:p>
        </w:tc>
        <w:tc>
          <w:tcPr>
            <w:tcW w:w="931"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96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7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18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长期股权投资</w:t>
            </w:r>
          </w:p>
        </w:tc>
        <w:tc>
          <w:tcPr>
            <w:tcW w:w="931"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1,291,705 </w:t>
            </w:r>
          </w:p>
        </w:tc>
        <w:tc>
          <w:tcPr>
            <w:tcW w:w="96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1,291,705 </w:t>
            </w:r>
          </w:p>
        </w:tc>
        <w:tc>
          <w:tcPr>
            <w:tcW w:w="7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18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固定资产</w:t>
            </w:r>
          </w:p>
        </w:tc>
        <w:tc>
          <w:tcPr>
            <w:tcW w:w="931"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949,036 </w:t>
            </w:r>
          </w:p>
        </w:tc>
        <w:tc>
          <w:tcPr>
            <w:tcW w:w="96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949,036 </w:t>
            </w:r>
          </w:p>
        </w:tc>
        <w:tc>
          <w:tcPr>
            <w:tcW w:w="7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18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在建工程</w:t>
            </w:r>
          </w:p>
        </w:tc>
        <w:tc>
          <w:tcPr>
            <w:tcW w:w="931"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61,936 </w:t>
            </w:r>
          </w:p>
        </w:tc>
        <w:tc>
          <w:tcPr>
            <w:tcW w:w="96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61,936 </w:t>
            </w:r>
          </w:p>
        </w:tc>
        <w:tc>
          <w:tcPr>
            <w:tcW w:w="7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18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使用权资产</w:t>
            </w:r>
          </w:p>
        </w:tc>
        <w:tc>
          <w:tcPr>
            <w:tcW w:w="931"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122,500 </w:t>
            </w:r>
          </w:p>
        </w:tc>
        <w:tc>
          <w:tcPr>
            <w:tcW w:w="96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122,500 </w:t>
            </w:r>
          </w:p>
        </w:tc>
        <w:tc>
          <w:tcPr>
            <w:tcW w:w="7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8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商誉</w:t>
            </w:r>
          </w:p>
        </w:tc>
        <w:tc>
          <w:tcPr>
            <w:tcW w:w="931"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96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7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r>
      <w:tr>
        <w:tblPrEx>
          <w:tblCellMar>
            <w:top w:w="0" w:type="dxa"/>
            <w:left w:w="108" w:type="dxa"/>
            <w:bottom w:w="0" w:type="dxa"/>
            <w:right w:w="108" w:type="dxa"/>
          </w:tblCellMar>
        </w:tblPrEx>
        <w:trPr>
          <w:trHeight w:val="27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17</w:t>
            </w:r>
          </w:p>
        </w:tc>
        <w:tc>
          <w:tcPr>
            <w:tcW w:w="18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无形资产</w:t>
            </w:r>
          </w:p>
        </w:tc>
        <w:tc>
          <w:tcPr>
            <w:tcW w:w="931"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110,712 </w:t>
            </w:r>
          </w:p>
        </w:tc>
        <w:tc>
          <w:tcPr>
            <w:tcW w:w="96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110,712 </w:t>
            </w:r>
          </w:p>
        </w:tc>
        <w:tc>
          <w:tcPr>
            <w:tcW w:w="7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w:t>
            </w:r>
          </w:p>
        </w:tc>
        <w:tc>
          <w:tcPr>
            <w:tcW w:w="1824" w:type="pct"/>
            <w:tcBorders>
              <w:top w:val="nil"/>
              <w:left w:val="nil"/>
              <w:bottom w:val="single" w:color="auto" w:sz="4" w:space="0"/>
              <w:right w:val="single" w:color="auto" w:sz="4" w:space="0"/>
            </w:tcBorders>
            <w:shd w:val="clear" w:color="auto" w:fill="auto"/>
            <w:vAlign w:val="center"/>
          </w:tcPr>
          <w:p>
            <w:pPr>
              <w:widowControl/>
              <w:ind w:firstLine="210" w:firstLineChars="100"/>
              <w:jc w:val="left"/>
              <w:rPr>
                <w:rFonts w:ascii="宋体" w:hAnsi="宋体" w:eastAsia="宋体" w:cs="宋体"/>
                <w:color w:val="000000"/>
                <w:kern w:val="0"/>
                <w:szCs w:val="21"/>
              </w:rPr>
            </w:pPr>
            <w:r>
              <w:rPr>
                <w:rFonts w:hint="eastAsia" w:ascii="宋体" w:hAnsi="宋体" w:eastAsia="宋体" w:cs="宋体"/>
                <w:color w:val="000000"/>
                <w:kern w:val="0"/>
                <w:szCs w:val="21"/>
              </w:rPr>
              <w:t>其中：土地使用权</w:t>
            </w:r>
          </w:p>
        </w:tc>
        <w:tc>
          <w:tcPr>
            <w:tcW w:w="931"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65,651 </w:t>
            </w:r>
          </w:p>
        </w:tc>
        <w:tc>
          <w:tcPr>
            <w:tcW w:w="96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65,651 </w:t>
            </w:r>
          </w:p>
        </w:tc>
        <w:tc>
          <w:tcPr>
            <w:tcW w:w="7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19</w:t>
            </w:r>
          </w:p>
        </w:tc>
        <w:tc>
          <w:tcPr>
            <w:tcW w:w="1824" w:type="pct"/>
            <w:tcBorders>
              <w:top w:val="nil"/>
              <w:left w:val="nil"/>
              <w:bottom w:val="single" w:color="auto" w:sz="4" w:space="0"/>
              <w:right w:val="single" w:color="auto" w:sz="4" w:space="0"/>
            </w:tcBorders>
            <w:shd w:val="clear" w:color="auto" w:fill="auto"/>
            <w:vAlign w:val="center"/>
          </w:tcPr>
          <w:p>
            <w:pPr>
              <w:widowControl/>
              <w:ind w:firstLine="210" w:firstLineChars="100"/>
              <w:jc w:val="left"/>
              <w:rPr>
                <w:rFonts w:ascii="宋体" w:hAnsi="宋体" w:eastAsia="宋体" w:cs="宋体"/>
                <w:color w:val="000000"/>
                <w:kern w:val="0"/>
                <w:szCs w:val="21"/>
              </w:rPr>
            </w:pPr>
            <w:r>
              <w:rPr>
                <w:rFonts w:hint="eastAsia" w:ascii="宋体" w:hAnsi="宋体" w:eastAsia="宋体" w:cs="宋体"/>
                <w:color w:val="000000"/>
                <w:kern w:val="0"/>
                <w:szCs w:val="21"/>
              </w:rPr>
              <w:t>其中：其他无形资产</w:t>
            </w:r>
          </w:p>
        </w:tc>
        <w:tc>
          <w:tcPr>
            <w:tcW w:w="931"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45,061 </w:t>
            </w:r>
          </w:p>
        </w:tc>
        <w:tc>
          <w:tcPr>
            <w:tcW w:w="96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45,061 </w:t>
            </w:r>
          </w:p>
        </w:tc>
        <w:tc>
          <w:tcPr>
            <w:tcW w:w="7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r>
      <w:tr>
        <w:tblPrEx>
          <w:tblCellMar>
            <w:top w:w="0" w:type="dxa"/>
            <w:left w:w="108" w:type="dxa"/>
            <w:bottom w:w="0" w:type="dxa"/>
            <w:right w:w="108" w:type="dxa"/>
          </w:tblCellMar>
        </w:tblPrEx>
        <w:trPr>
          <w:trHeight w:val="27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18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递延所得税资产</w:t>
            </w:r>
          </w:p>
        </w:tc>
        <w:tc>
          <w:tcPr>
            <w:tcW w:w="931"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1,924,831 </w:t>
            </w:r>
          </w:p>
        </w:tc>
        <w:tc>
          <w:tcPr>
            <w:tcW w:w="96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1,924,831 </w:t>
            </w:r>
          </w:p>
        </w:tc>
        <w:tc>
          <w:tcPr>
            <w:tcW w:w="7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21</w:t>
            </w:r>
          </w:p>
        </w:tc>
        <w:tc>
          <w:tcPr>
            <w:tcW w:w="18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其他资产</w:t>
            </w:r>
          </w:p>
        </w:tc>
        <w:tc>
          <w:tcPr>
            <w:tcW w:w="931"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293,354 </w:t>
            </w:r>
          </w:p>
        </w:tc>
        <w:tc>
          <w:tcPr>
            <w:tcW w:w="96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293,354 </w:t>
            </w:r>
          </w:p>
        </w:tc>
        <w:tc>
          <w:tcPr>
            <w:tcW w:w="7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22</w:t>
            </w:r>
          </w:p>
        </w:tc>
        <w:tc>
          <w:tcPr>
            <w:tcW w:w="18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资产合计</w:t>
            </w:r>
          </w:p>
        </w:tc>
        <w:tc>
          <w:tcPr>
            <w:tcW w:w="931"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   290,343,059 </w:t>
            </w:r>
          </w:p>
        </w:tc>
        <w:tc>
          <w:tcPr>
            <w:tcW w:w="96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   290,343,059 </w:t>
            </w:r>
          </w:p>
        </w:tc>
        <w:tc>
          <w:tcPr>
            <w:tcW w:w="7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000000" w:fill="E7E6E6"/>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负债</w:t>
            </w:r>
          </w:p>
        </w:tc>
      </w:tr>
      <w:tr>
        <w:tblPrEx>
          <w:tblCellMar>
            <w:top w:w="0" w:type="dxa"/>
            <w:left w:w="108" w:type="dxa"/>
            <w:bottom w:w="0" w:type="dxa"/>
            <w:right w:w="108" w:type="dxa"/>
          </w:tblCellMar>
        </w:tblPrEx>
        <w:trPr>
          <w:trHeight w:val="27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23</w:t>
            </w:r>
          </w:p>
        </w:tc>
        <w:tc>
          <w:tcPr>
            <w:tcW w:w="18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向中央银行借款</w:t>
            </w:r>
          </w:p>
        </w:tc>
        <w:tc>
          <w:tcPr>
            <w:tcW w:w="931"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7,522,642 </w:t>
            </w:r>
          </w:p>
        </w:tc>
        <w:tc>
          <w:tcPr>
            <w:tcW w:w="96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7,522,642 </w:t>
            </w:r>
          </w:p>
        </w:tc>
        <w:tc>
          <w:tcPr>
            <w:tcW w:w="7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w:t>
            </w:r>
          </w:p>
        </w:tc>
        <w:tc>
          <w:tcPr>
            <w:tcW w:w="18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同业及其他金融机构存放款项</w:t>
            </w:r>
          </w:p>
        </w:tc>
        <w:tc>
          <w:tcPr>
            <w:tcW w:w="931"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2,209,351 </w:t>
            </w:r>
          </w:p>
        </w:tc>
        <w:tc>
          <w:tcPr>
            <w:tcW w:w="96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2,209,351 </w:t>
            </w:r>
          </w:p>
        </w:tc>
        <w:tc>
          <w:tcPr>
            <w:tcW w:w="7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w:t>
            </w:r>
          </w:p>
        </w:tc>
        <w:tc>
          <w:tcPr>
            <w:tcW w:w="18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拆入资金</w:t>
            </w:r>
          </w:p>
        </w:tc>
        <w:tc>
          <w:tcPr>
            <w:tcW w:w="931"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3,001,545 </w:t>
            </w:r>
          </w:p>
        </w:tc>
        <w:tc>
          <w:tcPr>
            <w:tcW w:w="96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3,001,545 </w:t>
            </w:r>
          </w:p>
        </w:tc>
        <w:tc>
          <w:tcPr>
            <w:tcW w:w="7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26</w:t>
            </w:r>
          </w:p>
        </w:tc>
        <w:tc>
          <w:tcPr>
            <w:tcW w:w="18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卖出回购金融资产款</w:t>
            </w:r>
          </w:p>
        </w:tc>
        <w:tc>
          <w:tcPr>
            <w:tcW w:w="931"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13,878,771 </w:t>
            </w:r>
          </w:p>
        </w:tc>
        <w:tc>
          <w:tcPr>
            <w:tcW w:w="96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13,878,771 </w:t>
            </w:r>
          </w:p>
        </w:tc>
        <w:tc>
          <w:tcPr>
            <w:tcW w:w="7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27</w:t>
            </w:r>
          </w:p>
        </w:tc>
        <w:tc>
          <w:tcPr>
            <w:tcW w:w="18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吸收存款</w:t>
            </w:r>
          </w:p>
        </w:tc>
        <w:tc>
          <w:tcPr>
            <w:tcW w:w="931"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230,042,619 </w:t>
            </w:r>
          </w:p>
        </w:tc>
        <w:tc>
          <w:tcPr>
            <w:tcW w:w="96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230,042,619 </w:t>
            </w:r>
          </w:p>
        </w:tc>
        <w:tc>
          <w:tcPr>
            <w:tcW w:w="7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28</w:t>
            </w:r>
          </w:p>
        </w:tc>
        <w:tc>
          <w:tcPr>
            <w:tcW w:w="18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应付债券</w:t>
            </w:r>
          </w:p>
        </w:tc>
        <w:tc>
          <w:tcPr>
            <w:tcW w:w="931"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12,322,535 </w:t>
            </w:r>
          </w:p>
        </w:tc>
        <w:tc>
          <w:tcPr>
            <w:tcW w:w="96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12,322,535 </w:t>
            </w:r>
          </w:p>
        </w:tc>
        <w:tc>
          <w:tcPr>
            <w:tcW w:w="7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29</w:t>
            </w:r>
          </w:p>
        </w:tc>
        <w:tc>
          <w:tcPr>
            <w:tcW w:w="18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应付职工薪酬</w:t>
            </w:r>
          </w:p>
        </w:tc>
        <w:tc>
          <w:tcPr>
            <w:tcW w:w="931" w:type="pct"/>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         137,917 </w:t>
            </w:r>
          </w:p>
        </w:tc>
        <w:tc>
          <w:tcPr>
            <w:tcW w:w="96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236,771 </w:t>
            </w:r>
          </w:p>
        </w:tc>
        <w:tc>
          <w:tcPr>
            <w:tcW w:w="7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18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应交税费</w:t>
            </w:r>
          </w:p>
        </w:tc>
        <w:tc>
          <w:tcPr>
            <w:tcW w:w="931"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110,533 </w:t>
            </w:r>
          </w:p>
        </w:tc>
        <w:tc>
          <w:tcPr>
            <w:tcW w:w="96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110,533 </w:t>
            </w:r>
          </w:p>
        </w:tc>
        <w:tc>
          <w:tcPr>
            <w:tcW w:w="7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31</w:t>
            </w:r>
          </w:p>
        </w:tc>
        <w:tc>
          <w:tcPr>
            <w:tcW w:w="18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租赁负债</w:t>
            </w:r>
          </w:p>
        </w:tc>
        <w:tc>
          <w:tcPr>
            <w:tcW w:w="931"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126,609 </w:t>
            </w:r>
          </w:p>
        </w:tc>
        <w:tc>
          <w:tcPr>
            <w:tcW w:w="96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126,609 </w:t>
            </w:r>
          </w:p>
        </w:tc>
        <w:tc>
          <w:tcPr>
            <w:tcW w:w="7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18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递延所得税负债</w:t>
            </w:r>
          </w:p>
        </w:tc>
        <w:tc>
          <w:tcPr>
            <w:tcW w:w="931"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53,506 </w:t>
            </w:r>
          </w:p>
        </w:tc>
        <w:tc>
          <w:tcPr>
            <w:tcW w:w="96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53,506 </w:t>
            </w:r>
          </w:p>
        </w:tc>
        <w:tc>
          <w:tcPr>
            <w:tcW w:w="7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33</w:t>
            </w:r>
          </w:p>
        </w:tc>
        <w:tc>
          <w:tcPr>
            <w:tcW w:w="1824" w:type="pct"/>
            <w:tcBorders>
              <w:top w:val="nil"/>
              <w:left w:val="nil"/>
              <w:bottom w:val="single" w:color="auto" w:sz="4" w:space="0"/>
              <w:right w:val="single" w:color="auto" w:sz="4" w:space="0"/>
            </w:tcBorders>
            <w:shd w:val="clear" w:color="auto" w:fill="auto"/>
            <w:vAlign w:val="center"/>
          </w:tcPr>
          <w:p>
            <w:pPr>
              <w:widowControl/>
              <w:ind w:firstLine="210" w:firstLineChars="100"/>
              <w:jc w:val="left"/>
              <w:rPr>
                <w:rFonts w:ascii="宋体" w:hAnsi="宋体" w:eastAsia="宋体" w:cs="宋体"/>
                <w:color w:val="000000"/>
                <w:kern w:val="0"/>
                <w:szCs w:val="21"/>
              </w:rPr>
            </w:pPr>
            <w:r>
              <w:rPr>
                <w:rFonts w:hint="eastAsia" w:ascii="宋体" w:hAnsi="宋体" w:eastAsia="宋体" w:cs="宋体"/>
                <w:color w:val="000000"/>
                <w:kern w:val="0"/>
                <w:szCs w:val="21"/>
              </w:rPr>
              <w:t>其中：与商誉相关的递延所得税负债</w:t>
            </w:r>
          </w:p>
        </w:tc>
        <w:tc>
          <w:tcPr>
            <w:tcW w:w="931"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96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7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w:t>
            </w:r>
          </w:p>
        </w:tc>
      </w:tr>
      <w:tr>
        <w:tblPrEx>
          <w:tblCellMar>
            <w:top w:w="0" w:type="dxa"/>
            <w:left w:w="108" w:type="dxa"/>
            <w:bottom w:w="0" w:type="dxa"/>
            <w:right w:w="108" w:type="dxa"/>
          </w:tblCellMar>
        </w:tblPrEx>
        <w:trPr>
          <w:trHeight w:val="27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34</w:t>
            </w:r>
          </w:p>
        </w:tc>
        <w:tc>
          <w:tcPr>
            <w:tcW w:w="1824" w:type="pct"/>
            <w:tcBorders>
              <w:top w:val="nil"/>
              <w:left w:val="nil"/>
              <w:bottom w:val="single" w:color="auto" w:sz="4" w:space="0"/>
              <w:right w:val="single" w:color="auto" w:sz="4" w:space="0"/>
            </w:tcBorders>
            <w:shd w:val="clear" w:color="auto" w:fill="auto"/>
            <w:vAlign w:val="center"/>
          </w:tcPr>
          <w:p>
            <w:pPr>
              <w:widowControl/>
              <w:ind w:firstLine="210" w:firstLineChars="100"/>
              <w:jc w:val="left"/>
              <w:rPr>
                <w:rFonts w:ascii="宋体" w:hAnsi="宋体" w:eastAsia="宋体" w:cs="宋体"/>
                <w:color w:val="000000"/>
                <w:kern w:val="0"/>
                <w:szCs w:val="21"/>
              </w:rPr>
            </w:pPr>
            <w:r>
              <w:rPr>
                <w:rFonts w:hint="eastAsia" w:ascii="宋体" w:hAnsi="宋体" w:eastAsia="宋体" w:cs="宋体"/>
                <w:color w:val="000000"/>
                <w:kern w:val="0"/>
                <w:szCs w:val="21"/>
              </w:rPr>
              <w:t>其中：与无形资产相关的递延所得税负债</w:t>
            </w:r>
          </w:p>
        </w:tc>
        <w:tc>
          <w:tcPr>
            <w:tcW w:w="931"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96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7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d</w:t>
            </w:r>
          </w:p>
        </w:tc>
      </w:tr>
      <w:tr>
        <w:tblPrEx>
          <w:tblCellMar>
            <w:top w:w="0" w:type="dxa"/>
            <w:left w:w="108" w:type="dxa"/>
            <w:bottom w:w="0" w:type="dxa"/>
            <w:right w:w="108" w:type="dxa"/>
          </w:tblCellMar>
        </w:tblPrEx>
        <w:trPr>
          <w:trHeight w:val="27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35</w:t>
            </w:r>
          </w:p>
        </w:tc>
        <w:tc>
          <w:tcPr>
            <w:tcW w:w="18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预计负债</w:t>
            </w:r>
          </w:p>
        </w:tc>
        <w:tc>
          <w:tcPr>
            <w:tcW w:w="931"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olor w:val="000000"/>
                <w:szCs w:val="21"/>
              </w:rPr>
            </w:pPr>
            <w:r>
              <w:rPr>
                <w:rFonts w:hint="eastAsia" w:ascii="宋体" w:hAnsi="宋体" w:eastAsia="宋体"/>
                <w:color w:val="000000"/>
                <w:szCs w:val="21"/>
              </w:rPr>
              <w:t xml:space="preserve">          80,757 </w:t>
            </w:r>
          </w:p>
        </w:tc>
        <w:tc>
          <w:tcPr>
            <w:tcW w:w="96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80,757 </w:t>
            </w:r>
          </w:p>
        </w:tc>
        <w:tc>
          <w:tcPr>
            <w:tcW w:w="7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36</w:t>
            </w:r>
          </w:p>
        </w:tc>
        <w:tc>
          <w:tcPr>
            <w:tcW w:w="18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其他负债</w:t>
            </w:r>
          </w:p>
        </w:tc>
        <w:tc>
          <w:tcPr>
            <w:tcW w:w="931" w:type="pct"/>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olor w:val="000000"/>
                <w:szCs w:val="21"/>
              </w:rPr>
            </w:pPr>
            <w:r>
              <w:rPr>
                <w:rFonts w:hint="eastAsia" w:ascii="宋体" w:hAnsi="宋体" w:eastAsia="宋体"/>
                <w:color w:val="000000"/>
                <w:szCs w:val="21"/>
              </w:rPr>
              <w:t xml:space="preserve">         555,485 </w:t>
            </w:r>
          </w:p>
        </w:tc>
        <w:tc>
          <w:tcPr>
            <w:tcW w:w="96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456,631 </w:t>
            </w:r>
          </w:p>
        </w:tc>
        <w:tc>
          <w:tcPr>
            <w:tcW w:w="7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37</w:t>
            </w:r>
          </w:p>
        </w:tc>
        <w:tc>
          <w:tcPr>
            <w:tcW w:w="18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负债合计</w:t>
            </w:r>
          </w:p>
        </w:tc>
        <w:tc>
          <w:tcPr>
            <w:tcW w:w="931"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   270,042,270 </w:t>
            </w:r>
          </w:p>
        </w:tc>
        <w:tc>
          <w:tcPr>
            <w:tcW w:w="96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   270,042,270 </w:t>
            </w:r>
          </w:p>
        </w:tc>
        <w:tc>
          <w:tcPr>
            <w:tcW w:w="7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000000" w:fill="E7E6E6"/>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股东权益</w:t>
            </w:r>
          </w:p>
        </w:tc>
      </w:tr>
      <w:tr>
        <w:tblPrEx>
          <w:tblCellMar>
            <w:top w:w="0" w:type="dxa"/>
            <w:left w:w="108" w:type="dxa"/>
            <w:bottom w:w="0" w:type="dxa"/>
            <w:right w:w="108" w:type="dxa"/>
          </w:tblCellMar>
        </w:tblPrEx>
        <w:trPr>
          <w:trHeight w:val="27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38</w:t>
            </w:r>
          </w:p>
        </w:tc>
        <w:tc>
          <w:tcPr>
            <w:tcW w:w="18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股本</w:t>
            </w:r>
          </w:p>
        </w:tc>
        <w:tc>
          <w:tcPr>
            <w:tcW w:w="931"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3,661,004 </w:t>
            </w:r>
          </w:p>
        </w:tc>
        <w:tc>
          <w:tcPr>
            <w:tcW w:w="96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3,661,004 </w:t>
            </w:r>
          </w:p>
        </w:tc>
        <w:tc>
          <w:tcPr>
            <w:tcW w:w="7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e</w:t>
            </w:r>
          </w:p>
        </w:tc>
      </w:tr>
      <w:tr>
        <w:tblPrEx>
          <w:tblCellMar>
            <w:top w:w="0" w:type="dxa"/>
            <w:left w:w="108" w:type="dxa"/>
            <w:bottom w:w="0" w:type="dxa"/>
            <w:right w:w="108" w:type="dxa"/>
          </w:tblCellMar>
        </w:tblPrEx>
        <w:trPr>
          <w:trHeight w:val="27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39</w:t>
            </w:r>
          </w:p>
        </w:tc>
        <w:tc>
          <w:tcPr>
            <w:tcW w:w="18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其他权益工具</w:t>
            </w:r>
          </w:p>
        </w:tc>
        <w:tc>
          <w:tcPr>
            <w:tcW w:w="931"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329,631 </w:t>
            </w:r>
          </w:p>
        </w:tc>
        <w:tc>
          <w:tcPr>
            <w:tcW w:w="96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329,631 </w:t>
            </w:r>
          </w:p>
        </w:tc>
        <w:tc>
          <w:tcPr>
            <w:tcW w:w="7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k</w:t>
            </w:r>
          </w:p>
        </w:tc>
      </w:tr>
      <w:tr>
        <w:tblPrEx>
          <w:tblCellMar>
            <w:top w:w="0" w:type="dxa"/>
            <w:left w:w="108" w:type="dxa"/>
            <w:bottom w:w="0" w:type="dxa"/>
            <w:right w:w="108" w:type="dxa"/>
          </w:tblCellMar>
        </w:tblPrEx>
        <w:trPr>
          <w:trHeight w:val="27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40</w:t>
            </w:r>
          </w:p>
        </w:tc>
        <w:tc>
          <w:tcPr>
            <w:tcW w:w="1824" w:type="pct"/>
            <w:tcBorders>
              <w:top w:val="nil"/>
              <w:left w:val="nil"/>
              <w:bottom w:val="single" w:color="auto" w:sz="4" w:space="0"/>
              <w:right w:val="single" w:color="auto" w:sz="4" w:space="0"/>
            </w:tcBorders>
            <w:shd w:val="clear" w:color="auto" w:fill="auto"/>
            <w:vAlign w:val="center"/>
          </w:tcPr>
          <w:p>
            <w:pPr>
              <w:widowControl/>
              <w:ind w:firstLine="210" w:firstLineChars="100"/>
              <w:jc w:val="left"/>
              <w:rPr>
                <w:rFonts w:ascii="宋体" w:hAnsi="宋体" w:eastAsia="宋体" w:cs="宋体"/>
                <w:color w:val="000000"/>
                <w:kern w:val="0"/>
                <w:szCs w:val="21"/>
              </w:rPr>
            </w:pPr>
            <w:r>
              <w:rPr>
                <w:rFonts w:hint="eastAsia" w:ascii="宋体" w:hAnsi="宋体" w:eastAsia="宋体" w:cs="宋体"/>
                <w:color w:val="000000"/>
                <w:kern w:val="0"/>
                <w:szCs w:val="21"/>
              </w:rPr>
              <w:t>其中：优先股</w:t>
            </w:r>
          </w:p>
        </w:tc>
        <w:tc>
          <w:tcPr>
            <w:tcW w:w="931"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96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7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41</w:t>
            </w:r>
          </w:p>
        </w:tc>
        <w:tc>
          <w:tcPr>
            <w:tcW w:w="18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永续债</w:t>
            </w:r>
          </w:p>
        </w:tc>
        <w:tc>
          <w:tcPr>
            <w:tcW w:w="931"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96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7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42</w:t>
            </w:r>
          </w:p>
        </w:tc>
        <w:tc>
          <w:tcPr>
            <w:tcW w:w="18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资本公积</w:t>
            </w:r>
          </w:p>
        </w:tc>
        <w:tc>
          <w:tcPr>
            <w:tcW w:w="931"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2,977,476 </w:t>
            </w:r>
          </w:p>
        </w:tc>
        <w:tc>
          <w:tcPr>
            <w:tcW w:w="96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2,977,476 </w:t>
            </w:r>
          </w:p>
        </w:tc>
        <w:tc>
          <w:tcPr>
            <w:tcW w:w="7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g</w:t>
            </w:r>
          </w:p>
        </w:tc>
      </w:tr>
      <w:tr>
        <w:tblPrEx>
          <w:tblCellMar>
            <w:top w:w="0" w:type="dxa"/>
            <w:left w:w="108" w:type="dxa"/>
            <w:bottom w:w="0" w:type="dxa"/>
            <w:right w:w="108" w:type="dxa"/>
          </w:tblCellMar>
        </w:tblPrEx>
        <w:trPr>
          <w:trHeight w:val="27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43</w:t>
            </w:r>
          </w:p>
        </w:tc>
        <w:tc>
          <w:tcPr>
            <w:tcW w:w="18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其他综合收益</w:t>
            </w:r>
          </w:p>
        </w:tc>
        <w:tc>
          <w:tcPr>
            <w:tcW w:w="931"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110,908 </w:t>
            </w:r>
          </w:p>
        </w:tc>
        <w:tc>
          <w:tcPr>
            <w:tcW w:w="96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110,908 </w:t>
            </w:r>
          </w:p>
        </w:tc>
        <w:tc>
          <w:tcPr>
            <w:tcW w:w="7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44</w:t>
            </w:r>
          </w:p>
        </w:tc>
        <w:tc>
          <w:tcPr>
            <w:tcW w:w="18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盈余公积</w:t>
            </w:r>
          </w:p>
        </w:tc>
        <w:tc>
          <w:tcPr>
            <w:tcW w:w="931"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3,423,894 </w:t>
            </w:r>
          </w:p>
        </w:tc>
        <w:tc>
          <w:tcPr>
            <w:tcW w:w="96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3,423,894 </w:t>
            </w:r>
          </w:p>
        </w:tc>
        <w:tc>
          <w:tcPr>
            <w:tcW w:w="7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h</w:t>
            </w:r>
          </w:p>
        </w:tc>
      </w:tr>
      <w:tr>
        <w:tblPrEx>
          <w:tblCellMar>
            <w:top w:w="0" w:type="dxa"/>
            <w:left w:w="108" w:type="dxa"/>
            <w:bottom w:w="0" w:type="dxa"/>
            <w:right w:w="108" w:type="dxa"/>
          </w:tblCellMar>
        </w:tblPrEx>
        <w:trPr>
          <w:trHeight w:val="27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45</w:t>
            </w:r>
          </w:p>
        </w:tc>
        <w:tc>
          <w:tcPr>
            <w:tcW w:w="18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一般风险准备</w:t>
            </w:r>
          </w:p>
        </w:tc>
        <w:tc>
          <w:tcPr>
            <w:tcW w:w="931"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6,823,054 </w:t>
            </w:r>
          </w:p>
        </w:tc>
        <w:tc>
          <w:tcPr>
            <w:tcW w:w="96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6,823,054 </w:t>
            </w:r>
          </w:p>
        </w:tc>
        <w:tc>
          <w:tcPr>
            <w:tcW w:w="7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i</w:t>
            </w:r>
          </w:p>
        </w:tc>
      </w:tr>
      <w:tr>
        <w:tblPrEx>
          <w:tblCellMar>
            <w:top w:w="0" w:type="dxa"/>
            <w:left w:w="108" w:type="dxa"/>
            <w:bottom w:w="0" w:type="dxa"/>
            <w:right w:w="108" w:type="dxa"/>
          </w:tblCellMar>
        </w:tblPrEx>
        <w:trPr>
          <w:trHeight w:val="27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46</w:t>
            </w:r>
          </w:p>
        </w:tc>
        <w:tc>
          <w:tcPr>
            <w:tcW w:w="18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未分配利润</w:t>
            </w:r>
          </w:p>
        </w:tc>
        <w:tc>
          <w:tcPr>
            <w:tcW w:w="931"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2,974,822 </w:t>
            </w:r>
          </w:p>
        </w:tc>
        <w:tc>
          <w:tcPr>
            <w:tcW w:w="96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2,974,822 </w:t>
            </w:r>
          </w:p>
        </w:tc>
        <w:tc>
          <w:tcPr>
            <w:tcW w:w="7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j</w:t>
            </w:r>
          </w:p>
        </w:tc>
      </w:tr>
      <w:tr>
        <w:tblPrEx>
          <w:tblCellMar>
            <w:top w:w="0" w:type="dxa"/>
            <w:left w:w="108" w:type="dxa"/>
            <w:bottom w:w="0" w:type="dxa"/>
            <w:right w:w="108" w:type="dxa"/>
          </w:tblCellMar>
        </w:tblPrEx>
        <w:trPr>
          <w:trHeight w:val="27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47</w:t>
            </w:r>
          </w:p>
        </w:tc>
        <w:tc>
          <w:tcPr>
            <w:tcW w:w="18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少数股东权益</w:t>
            </w:r>
          </w:p>
        </w:tc>
        <w:tc>
          <w:tcPr>
            <w:tcW w:w="931"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96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7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48</w:t>
            </w:r>
          </w:p>
        </w:tc>
        <w:tc>
          <w:tcPr>
            <w:tcW w:w="18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股东权益合计</w:t>
            </w:r>
          </w:p>
        </w:tc>
        <w:tc>
          <w:tcPr>
            <w:tcW w:w="931"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    20,300,789 </w:t>
            </w:r>
          </w:p>
        </w:tc>
        <w:tc>
          <w:tcPr>
            <w:tcW w:w="96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    20,300,789 </w:t>
            </w:r>
          </w:p>
        </w:tc>
        <w:tc>
          <w:tcPr>
            <w:tcW w:w="7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54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49</w:t>
            </w:r>
          </w:p>
        </w:tc>
        <w:tc>
          <w:tcPr>
            <w:tcW w:w="18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负债和股东权益总计</w:t>
            </w:r>
          </w:p>
        </w:tc>
        <w:tc>
          <w:tcPr>
            <w:tcW w:w="931"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   290,343,059 </w:t>
            </w:r>
          </w:p>
        </w:tc>
        <w:tc>
          <w:tcPr>
            <w:tcW w:w="96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   290,343,059 </w:t>
            </w:r>
          </w:p>
        </w:tc>
        <w:tc>
          <w:tcPr>
            <w:tcW w:w="7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bl>
    <w:p>
      <w:pPr>
        <w:spacing w:line="360" w:lineRule="auto"/>
        <w:rPr>
          <w:rFonts w:cs="Times New Roman" w:asciiTheme="minorEastAsia" w:hAnsiTheme="minorEastAsia"/>
          <w:color w:val="000000"/>
          <w:sz w:val="24"/>
          <w:szCs w:val="24"/>
        </w:rPr>
      </w:pPr>
    </w:p>
    <w:p>
      <w:pPr>
        <w:spacing w:line="360" w:lineRule="auto"/>
        <w:rPr>
          <w:rFonts w:cs="Times New Roman" w:asciiTheme="minorEastAsia" w:hAnsiTheme="minorEastAsia"/>
          <w:color w:val="000000"/>
          <w:sz w:val="24"/>
          <w:szCs w:val="24"/>
        </w:rPr>
      </w:pPr>
    </w:p>
    <w:p>
      <w:pPr>
        <w:spacing w:line="360" w:lineRule="auto"/>
        <w:rPr>
          <w:rFonts w:cs="Times New Roman" w:asciiTheme="minorEastAsia" w:hAnsiTheme="minorEastAsia"/>
          <w:color w:val="000000"/>
          <w:sz w:val="24"/>
          <w:szCs w:val="24"/>
        </w:rPr>
      </w:pPr>
    </w:p>
    <w:p>
      <w:pPr>
        <w:spacing w:line="360" w:lineRule="auto"/>
        <w:rPr>
          <w:rFonts w:cs="Times New Roman" w:asciiTheme="minorEastAsia" w:hAnsiTheme="minorEastAsia"/>
          <w:color w:val="000000"/>
          <w:sz w:val="24"/>
          <w:szCs w:val="24"/>
        </w:rPr>
      </w:pPr>
    </w:p>
    <w:p>
      <w:pPr>
        <w:spacing w:line="360" w:lineRule="auto"/>
        <w:rPr>
          <w:rFonts w:cs="Times New Roman" w:asciiTheme="minorEastAsia" w:hAnsiTheme="minorEastAsia"/>
          <w:color w:val="000000"/>
          <w:sz w:val="24"/>
          <w:szCs w:val="24"/>
        </w:rPr>
      </w:pPr>
    </w:p>
    <w:p>
      <w:pPr>
        <w:pStyle w:val="2"/>
        <w:spacing w:before="0" w:after="0" w:line="360" w:lineRule="auto"/>
        <w:rPr>
          <w:rFonts w:asciiTheme="minorEastAsia" w:hAnsiTheme="minorEastAsia"/>
          <w:sz w:val="28"/>
          <w:szCs w:val="24"/>
        </w:rPr>
      </w:pPr>
      <w:bookmarkStart w:id="11" w:name="_Toc11353"/>
      <w:bookmarkStart w:id="14" w:name="_GoBack"/>
      <w:bookmarkEnd w:id="14"/>
      <w:r>
        <w:rPr>
          <w:rFonts w:asciiTheme="minorEastAsia" w:hAnsiTheme="minorEastAsia"/>
          <w:sz w:val="28"/>
          <w:szCs w:val="24"/>
        </w:rPr>
        <w:t xml:space="preserve">4  </w:t>
      </w:r>
      <w:r>
        <w:rPr>
          <w:rFonts w:hint="eastAsia" w:asciiTheme="minorEastAsia" w:hAnsiTheme="minorEastAsia"/>
          <w:sz w:val="28"/>
          <w:szCs w:val="24"/>
        </w:rPr>
        <w:t>杠杆率</w:t>
      </w:r>
      <w:bookmarkEnd w:id="11"/>
    </w:p>
    <w:p>
      <w:pPr>
        <w:pStyle w:val="3"/>
        <w:spacing w:before="0" w:after="0" w:line="360" w:lineRule="auto"/>
        <w:rPr>
          <w:rFonts w:asciiTheme="minorEastAsia" w:hAnsiTheme="minorEastAsia" w:eastAsiaTheme="minorEastAsia"/>
          <w:sz w:val="24"/>
          <w:szCs w:val="24"/>
        </w:rPr>
      </w:pPr>
      <w:bookmarkStart w:id="12" w:name="_Toc12737"/>
      <w:r>
        <w:rPr>
          <w:rFonts w:hint="eastAsia" w:asciiTheme="minorEastAsia" w:hAnsiTheme="minorEastAsia" w:eastAsiaTheme="minorEastAsia"/>
          <w:sz w:val="24"/>
          <w:szCs w:val="24"/>
        </w:rPr>
        <w:t>4.1</w:t>
      </w:r>
      <w:r>
        <w:rPr>
          <w:rFonts w:asciiTheme="minorEastAsia" w:hAnsiTheme="minorEastAsia" w:eastAsiaTheme="minorEastAsia"/>
          <w:sz w:val="24"/>
          <w:szCs w:val="24"/>
        </w:rPr>
        <w:t xml:space="preserve">  </w:t>
      </w:r>
      <w:r>
        <w:rPr>
          <w:rFonts w:hint="eastAsia" w:cs="Times New Roman" w:asciiTheme="minorEastAsia" w:hAnsiTheme="minorEastAsia"/>
          <w:color w:val="000000"/>
          <w:sz w:val="24"/>
          <w:szCs w:val="24"/>
        </w:rPr>
        <w:t xml:space="preserve">LR1 </w:t>
      </w:r>
      <w:r>
        <w:rPr>
          <w:rFonts w:hint="eastAsia" w:asciiTheme="minorEastAsia" w:hAnsiTheme="minorEastAsia" w:eastAsiaTheme="minorEastAsia"/>
          <w:sz w:val="24"/>
          <w:szCs w:val="24"/>
        </w:rPr>
        <w:t>杠杆率监管项目与相关会计项目的差异</w:t>
      </w:r>
      <w:bookmarkEnd w:id="12"/>
    </w:p>
    <w:p>
      <w:pPr>
        <w:spacing w:line="360" w:lineRule="auto"/>
        <w:ind w:firstLine="480" w:firstLineChars="200"/>
        <w:rPr>
          <w:rFonts w:cs="Times New Roman" w:asciiTheme="minorEastAsia" w:hAnsiTheme="minorEastAsia"/>
          <w:color w:val="000000"/>
          <w:sz w:val="24"/>
          <w:szCs w:val="24"/>
        </w:rPr>
      </w:pPr>
      <w:r>
        <w:rPr>
          <w:rFonts w:hint="eastAsia" w:cs="Times New Roman" w:asciiTheme="minorEastAsia" w:hAnsiTheme="minorEastAsia"/>
          <w:color w:val="000000"/>
          <w:sz w:val="24"/>
          <w:szCs w:val="24"/>
        </w:rPr>
        <w:t>下表列示本公司资产负债表中的总资产和杠杆率调整后的表内外资产余额的对比关系。</w:t>
      </w:r>
    </w:p>
    <w:p>
      <w:pPr>
        <w:spacing w:line="360" w:lineRule="auto"/>
        <w:ind w:firstLine="482" w:firstLineChars="200"/>
        <w:rPr>
          <w:rFonts w:cs="Times New Roman" w:asciiTheme="minorEastAsia" w:hAnsiTheme="minorEastAsia"/>
          <w:b/>
          <w:color w:val="000000"/>
          <w:sz w:val="24"/>
          <w:szCs w:val="24"/>
        </w:rPr>
      </w:pPr>
      <w:r>
        <w:rPr>
          <w:rFonts w:hint="eastAsia" w:cs="Times New Roman" w:asciiTheme="minorEastAsia" w:hAnsiTheme="minorEastAsia"/>
          <w:b/>
          <w:color w:val="000000"/>
          <w:sz w:val="24"/>
          <w:szCs w:val="24"/>
        </w:rPr>
        <w:t>表格LR1：杠杆率监管项目与相关会计项目的差异</w:t>
      </w:r>
    </w:p>
    <w:p>
      <w:pPr>
        <w:spacing w:line="360" w:lineRule="auto"/>
        <w:ind w:firstLine="480" w:firstLineChars="200"/>
        <w:jc w:val="right"/>
        <w:rPr>
          <w:rFonts w:cs="Times New Roman" w:asciiTheme="minorEastAsia" w:hAnsiTheme="minorEastAsia"/>
          <w:color w:val="000000"/>
          <w:sz w:val="24"/>
          <w:szCs w:val="24"/>
        </w:rPr>
      </w:pPr>
      <w:r>
        <w:rPr>
          <w:rFonts w:hint="eastAsia" w:cs="Times New Roman" w:asciiTheme="minorEastAsia" w:hAnsiTheme="minorEastAsia"/>
          <w:color w:val="000000"/>
          <w:sz w:val="24"/>
          <w:szCs w:val="24"/>
        </w:rPr>
        <w:t>单位：人民币千元</w:t>
      </w:r>
    </w:p>
    <w:tbl>
      <w:tblPr>
        <w:tblStyle w:val="11"/>
        <w:tblW w:w="9860" w:type="dxa"/>
        <w:jc w:val="center"/>
        <w:tblLayout w:type="autofit"/>
        <w:tblCellMar>
          <w:top w:w="0" w:type="dxa"/>
          <w:left w:w="108" w:type="dxa"/>
          <w:bottom w:w="0" w:type="dxa"/>
          <w:right w:w="108" w:type="dxa"/>
        </w:tblCellMar>
      </w:tblPr>
      <w:tblGrid>
        <w:gridCol w:w="1080"/>
        <w:gridCol w:w="5620"/>
        <w:gridCol w:w="3160"/>
      </w:tblGrid>
      <w:tr>
        <w:tblPrEx>
          <w:tblCellMar>
            <w:top w:w="0" w:type="dxa"/>
            <w:left w:w="108" w:type="dxa"/>
            <w:bottom w:w="0" w:type="dxa"/>
            <w:right w:w="108" w:type="dxa"/>
          </w:tblCellMar>
        </w:tblPrEx>
        <w:trPr>
          <w:trHeight w:val="270" w:hRule="atLeast"/>
          <w:jc w:val="center"/>
        </w:trPr>
        <w:tc>
          <w:tcPr>
            <w:tcW w:w="6700"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1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r>
      <w:tr>
        <w:tblPrEx>
          <w:tblCellMar>
            <w:top w:w="0" w:type="dxa"/>
            <w:left w:w="108" w:type="dxa"/>
            <w:bottom w:w="0" w:type="dxa"/>
            <w:right w:w="108" w:type="dxa"/>
          </w:tblCellMar>
        </w:tblPrEx>
        <w:trPr>
          <w:trHeight w:val="270" w:hRule="atLeast"/>
          <w:jc w:val="center"/>
        </w:trPr>
        <w:tc>
          <w:tcPr>
            <w:tcW w:w="67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2025年12月31日</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5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并表总资产</w:t>
            </w:r>
          </w:p>
        </w:tc>
        <w:tc>
          <w:tcPr>
            <w:tcW w:w="31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290,343,059 </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5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并表调整项</w:t>
            </w:r>
          </w:p>
        </w:tc>
        <w:tc>
          <w:tcPr>
            <w:tcW w:w="31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5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客户资产调整项</w:t>
            </w:r>
          </w:p>
        </w:tc>
        <w:tc>
          <w:tcPr>
            <w:tcW w:w="31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5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衍生工具调整项</w:t>
            </w:r>
          </w:p>
        </w:tc>
        <w:tc>
          <w:tcPr>
            <w:tcW w:w="31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509 </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5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证券融资交易调整项</w:t>
            </w:r>
          </w:p>
        </w:tc>
        <w:tc>
          <w:tcPr>
            <w:tcW w:w="31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776,678 </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5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表外项目调整项</w:t>
            </w:r>
          </w:p>
        </w:tc>
        <w:tc>
          <w:tcPr>
            <w:tcW w:w="31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25,839,601 </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5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资产证券化交易调整项</w:t>
            </w:r>
          </w:p>
        </w:tc>
        <w:tc>
          <w:tcPr>
            <w:tcW w:w="31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5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未结算金融资产调整项</w:t>
            </w:r>
          </w:p>
        </w:tc>
        <w:tc>
          <w:tcPr>
            <w:tcW w:w="31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5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现金池调整项</w:t>
            </w:r>
          </w:p>
        </w:tc>
        <w:tc>
          <w:tcPr>
            <w:tcW w:w="31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5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存款准备金调整项（如有）</w:t>
            </w:r>
          </w:p>
        </w:tc>
        <w:tc>
          <w:tcPr>
            <w:tcW w:w="31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5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审慎估值和减值准备调整项</w:t>
            </w:r>
          </w:p>
        </w:tc>
        <w:tc>
          <w:tcPr>
            <w:tcW w:w="31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5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其他调整项</w:t>
            </w:r>
          </w:p>
        </w:tc>
        <w:tc>
          <w:tcPr>
            <w:tcW w:w="31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-261,966 </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13</w:t>
            </w:r>
          </w:p>
        </w:tc>
        <w:tc>
          <w:tcPr>
            <w:tcW w:w="5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调整后表内外资产余额</w:t>
            </w:r>
          </w:p>
        </w:tc>
        <w:tc>
          <w:tcPr>
            <w:tcW w:w="31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             316,697,881 </w:t>
            </w:r>
          </w:p>
        </w:tc>
      </w:tr>
    </w:tbl>
    <w:p>
      <w:pPr>
        <w:spacing w:line="360" w:lineRule="auto"/>
        <w:rPr>
          <w:rFonts w:cs="Times New Roman" w:asciiTheme="minorEastAsia" w:hAnsiTheme="minorEastAsia"/>
          <w:color w:val="000000"/>
          <w:sz w:val="24"/>
          <w:szCs w:val="24"/>
        </w:rPr>
      </w:pPr>
    </w:p>
    <w:p>
      <w:pPr>
        <w:pStyle w:val="3"/>
        <w:spacing w:before="0" w:after="0" w:line="360" w:lineRule="auto"/>
        <w:rPr>
          <w:rFonts w:asciiTheme="minorEastAsia" w:hAnsiTheme="minorEastAsia" w:eastAsiaTheme="minorEastAsia"/>
          <w:sz w:val="24"/>
          <w:szCs w:val="24"/>
        </w:rPr>
      </w:pPr>
      <w:bookmarkStart w:id="13" w:name="_Toc7362"/>
      <w:r>
        <w:rPr>
          <w:rFonts w:hint="eastAsia" w:asciiTheme="minorEastAsia" w:hAnsiTheme="minorEastAsia" w:eastAsiaTheme="minorEastAsia"/>
          <w:sz w:val="24"/>
          <w:szCs w:val="24"/>
        </w:rPr>
        <w:t>4.</w:t>
      </w:r>
      <w:r>
        <w:rPr>
          <w:rFonts w:asciiTheme="minorEastAsia" w:hAnsiTheme="minorEastAsia" w:eastAsiaTheme="minorEastAsia"/>
          <w:sz w:val="24"/>
          <w:szCs w:val="24"/>
        </w:rPr>
        <w:t xml:space="preserve">2  </w:t>
      </w:r>
      <w:r>
        <w:rPr>
          <w:rFonts w:hint="eastAsia" w:cs="Times New Roman" w:asciiTheme="minorEastAsia" w:hAnsiTheme="minorEastAsia"/>
          <w:color w:val="000000"/>
          <w:sz w:val="24"/>
          <w:szCs w:val="24"/>
        </w:rPr>
        <w:t xml:space="preserve">LR2 </w:t>
      </w:r>
      <w:r>
        <w:rPr>
          <w:rFonts w:hint="eastAsia" w:asciiTheme="minorEastAsia" w:hAnsiTheme="minorEastAsia" w:eastAsiaTheme="minorEastAsia"/>
          <w:sz w:val="24"/>
          <w:szCs w:val="24"/>
        </w:rPr>
        <w:t>杠杆率</w:t>
      </w:r>
      <w:bookmarkEnd w:id="13"/>
    </w:p>
    <w:p>
      <w:pPr>
        <w:spacing w:line="360" w:lineRule="auto"/>
        <w:ind w:firstLine="480" w:firstLineChars="200"/>
        <w:rPr>
          <w:rFonts w:cs="Times New Roman" w:asciiTheme="minorEastAsia" w:hAnsiTheme="minorEastAsia"/>
          <w:color w:val="000000"/>
          <w:sz w:val="24"/>
          <w:szCs w:val="24"/>
        </w:rPr>
      </w:pPr>
      <w:r>
        <w:rPr>
          <w:rFonts w:hint="eastAsia" w:cs="Times New Roman" w:asciiTheme="minorEastAsia" w:hAnsiTheme="minorEastAsia"/>
          <w:color w:val="000000"/>
          <w:sz w:val="24"/>
          <w:szCs w:val="24"/>
        </w:rPr>
        <w:t>下表列示本公司杠杆率分母的组成明细以及实际杠杆率、最低杠杆率要求和附加杠杆率要求等相关信息。</w:t>
      </w:r>
    </w:p>
    <w:p>
      <w:pPr>
        <w:spacing w:line="360" w:lineRule="auto"/>
        <w:ind w:firstLine="482" w:firstLineChars="200"/>
        <w:rPr>
          <w:rFonts w:cs="Times New Roman" w:asciiTheme="minorEastAsia" w:hAnsiTheme="minorEastAsia"/>
          <w:b/>
          <w:color w:val="000000"/>
          <w:sz w:val="24"/>
          <w:szCs w:val="24"/>
        </w:rPr>
      </w:pPr>
      <w:r>
        <w:rPr>
          <w:rFonts w:hint="eastAsia" w:cs="Times New Roman" w:asciiTheme="minorEastAsia" w:hAnsiTheme="minorEastAsia"/>
          <w:b/>
          <w:color w:val="000000"/>
          <w:sz w:val="24"/>
          <w:szCs w:val="24"/>
        </w:rPr>
        <w:t>表格LR2：杠杆率</w:t>
      </w:r>
    </w:p>
    <w:p>
      <w:pPr>
        <w:spacing w:line="360" w:lineRule="auto"/>
        <w:ind w:firstLine="480" w:firstLineChars="200"/>
        <w:jc w:val="right"/>
        <w:rPr>
          <w:rFonts w:cs="Times New Roman" w:asciiTheme="minorEastAsia" w:hAnsiTheme="minorEastAsia"/>
          <w:color w:val="000000"/>
          <w:sz w:val="24"/>
          <w:szCs w:val="24"/>
        </w:rPr>
      </w:pPr>
      <w:r>
        <w:rPr>
          <w:rFonts w:hint="eastAsia" w:cs="Times New Roman" w:asciiTheme="minorEastAsia" w:hAnsiTheme="minorEastAsia"/>
          <w:color w:val="000000"/>
          <w:sz w:val="24"/>
          <w:szCs w:val="24"/>
        </w:rPr>
        <w:t>单位：人民币千元，百分比除外</w:t>
      </w:r>
    </w:p>
    <w:tbl>
      <w:tblPr>
        <w:tblStyle w:val="11"/>
        <w:tblW w:w="10314" w:type="dxa"/>
        <w:jc w:val="center"/>
        <w:tblLayout w:type="autofit"/>
        <w:tblCellMar>
          <w:top w:w="0" w:type="dxa"/>
          <w:left w:w="108" w:type="dxa"/>
          <w:bottom w:w="0" w:type="dxa"/>
          <w:right w:w="108" w:type="dxa"/>
        </w:tblCellMar>
      </w:tblPr>
      <w:tblGrid>
        <w:gridCol w:w="1276"/>
        <w:gridCol w:w="4253"/>
        <w:gridCol w:w="2392"/>
        <w:gridCol w:w="2393"/>
      </w:tblGrid>
      <w:tr>
        <w:tblPrEx>
          <w:tblCellMar>
            <w:top w:w="0" w:type="dxa"/>
            <w:left w:w="108" w:type="dxa"/>
            <w:bottom w:w="0" w:type="dxa"/>
            <w:right w:w="108" w:type="dxa"/>
          </w:tblCellMar>
        </w:tblPrEx>
        <w:trPr>
          <w:trHeight w:val="270" w:hRule="atLeast"/>
          <w:tblHeader/>
          <w:jc w:val="center"/>
        </w:trPr>
        <w:tc>
          <w:tcPr>
            <w:tcW w:w="552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3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23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r>
      <w:tr>
        <w:tblPrEx>
          <w:tblCellMar>
            <w:top w:w="0" w:type="dxa"/>
            <w:left w:w="108" w:type="dxa"/>
            <w:bottom w:w="0" w:type="dxa"/>
            <w:right w:w="108" w:type="dxa"/>
          </w:tblCellMar>
        </w:tblPrEx>
        <w:trPr>
          <w:trHeight w:val="270" w:hRule="atLeast"/>
          <w:tblHeader/>
          <w:jc w:val="center"/>
        </w:trPr>
        <w:tc>
          <w:tcPr>
            <w:tcW w:w="552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2025年12月31日</w:t>
            </w:r>
          </w:p>
        </w:tc>
        <w:tc>
          <w:tcPr>
            <w:tcW w:w="23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2025年9月30日</w:t>
            </w:r>
          </w:p>
        </w:tc>
      </w:tr>
      <w:tr>
        <w:tblPrEx>
          <w:tblCellMar>
            <w:top w:w="0" w:type="dxa"/>
            <w:left w:w="108" w:type="dxa"/>
            <w:bottom w:w="0" w:type="dxa"/>
            <w:right w:w="108" w:type="dxa"/>
          </w:tblCellMar>
        </w:tblPrEx>
        <w:trPr>
          <w:trHeight w:val="270" w:hRule="atLeast"/>
          <w:jc w:val="center"/>
        </w:trPr>
        <w:tc>
          <w:tcPr>
            <w:tcW w:w="10314" w:type="dxa"/>
            <w:gridSpan w:val="4"/>
            <w:tcBorders>
              <w:top w:val="single" w:color="auto" w:sz="4" w:space="0"/>
              <w:left w:val="single" w:color="auto" w:sz="4" w:space="0"/>
              <w:bottom w:val="single" w:color="auto" w:sz="4" w:space="0"/>
              <w:right w:val="single" w:color="auto" w:sz="4" w:space="0"/>
            </w:tcBorders>
            <w:shd w:val="clear" w:color="000000" w:fill="E7E6E6"/>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表内资产余额</w:t>
            </w:r>
          </w:p>
        </w:tc>
      </w:tr>
      <w:tr>
        <w:tblPrEx>
          <w:tblCellMar>
            <w:top w:w="0" w:type="dxa"/>
            <w:left w:w="108" w:type="dxa"/>
            <w:bottom w:w="0" w:type="dxa"/>
            <w:right w:w="108" w:type="dxa"/>
          </w:tblCellMar>
        </w:tblPrEx>
        <w:trPr>
          <w:trHeight w:val="270" w:hRule="atLeast"/>
          <w:jc w:val="center"/>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4253"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表内资产（除衍生工具和证券融资交易外）</w:t>
            </w:r>
          </w:p>
        </w:tc>
        <w:tc>
          <w:tcPr>
            <w:tcW w:w="23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285,054,997 </w:t>
            </w:r>
          </w:p>
        </w:tc>
        <w:tc>
          <w:tcPr>
            <w:tcW w:w="239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276,465,679 </w:t>
            </w:r>
          </w:p>
        </w:tc>
      </w:tr>
      <w:tr>
        <w:tblPrEx>
          <w:tblCellMar>
            <w:top w:w="0" w:type="dxa"/>
            <w:left w:w="108" w:type="dxa"/>
            <w:bottom w:w="0" w:type="dxa"/>
            <w:right w:w="108" w:type="dxa"/>
          </w:tblCellMar>
        </w:tblPrEx>
        <w:trPr>
          <w:trHeight w:val="270" w:hRule="atLeast"/>
          <w:jc w:val="center"/>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4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减：减值准备</w:t>
            </w:r>
          </w:p>
        </w:tc>
        <w:tc>
          <w:tcPr>
            <w:tcW w:w="23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-5,245,284 </w:t>
            </w:r>
          </w:p>
        </w:tc>
        <w:tc>
          <w:tcPr>
            <w:tcW w:w="239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-5,206,852 </w:t>
            </w:r>
          </w:p>
        </w:tc>
      </w:tr>
      <w:tr>
        <w:tblPrEx>
          <w:tblCellMar>
            <w:top w:w="0" w:type="dxa"/>
            <w:left w:w="108" w:type="dxa"/>
            <w:bottom w:w="0" w:type="dxa"/>
            <w:right w:w="108" w:type="dxa"/>
          </w:tblCellMar>
        </w:tblPrEx>
        <w:trPr>
          <w:trHeight w:val="270" w:hRule="atLeast"/>
          <w:jc w:val="center"/>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4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减：一级资本扣除项</w:t>
            </w:r>
          </w:p>
        </w:tc>
        <w:tc>
          <w:tcPr>
            <w:tcW w:w="23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-261,966 </w:t>
            </w:r>
          </w:p>
        </w:tc>
        <w:tc>
          <w:tcPr>
            <w:tcW w:w="239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-212,909 </w:t>
            </w:r>
          </w:p>
        </w:tc>
      </w:tr>
      <w:tr>
        <w:tblPrEx>
          <w:tblCellMar>
            <w:top w:w="0" w:type="dxa"/>
            <w:left w:w="108" w:type="dxa"/>
            <w:bottom w:w="0" w:type="dxa"/>
            <w:right w:w="108" w:type="dxa"/>
          </w:tblCellMar>
        </w:tblPrEx>
        <w:trPr>
          <w:trHeight w:val="510" w:hRule="atLeast"/>
          <w:jc w:val="center"/>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4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调整后的表内资产余额（衍生工具和证券融资交易除外）</w:t>
            </w:r>
          </w:p>
        </w:tc>
        <w:tc>
          <w:tcPr>
            <w:tcW w:w="23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     279,547,747 </w:t>
            </w:r>
          </w:p>
        </w:tc>
        <w:tc>
          <w:tcPr>
            <w:tcW w:w="239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     271,045,918 </w:t>
            </w:r>
          </w:p>
        </w:tc>
      </w:tr>
      <w:tr>
        <w:tblPrEx>
          <w:tblCellMar>
            <w:top w:w="0" w:type="dxa"/>
            <w:left w:w="108" w:type="dxa"/>
            <w:bottom w:w="0" w:type="dxa"/>
            <w:right w:w="108" w:type="dxa"/>
          </w:tblCellMar>
        </w:tblPrEx>
        <w:trPr>
          <w:trHeight w:val="270" w:hRule="atLeast"/>
          <w:jc w:val="center"/>
        </w:trPr>
        <w:tc>
          <w:tcPr>
            <w:tcW w:w="10314" w:type="dxa"/>
            <w:gridSpan w:val="4"/>
            <w:tcBorders>
              <w:top w:val="single" w:color="auto" w:sz="4" w:space="0"/>
              <w:left w:val="single" w:color="auto" w:sz="4" w:space="0"/>
              <w:bottom w:val="single" w:color="auto" w:sz="4" w:space="0"/>
              <w:right w:val="single" w:color="auto" w:sz="4" w:space="0"/>
            </w:tcBorders>
            <w:shd w:val="clear" w:color="000000" w:fill="E7E6E6"/>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衍生工具资产余额</w:t>
            </w:r>
          </w:p>
        </w:tc>
      </w:tr>
      <w:tr>
        <w:tblPrEx>
          <w:tblCellMar>
            <w:top w:w="0" w:type="dxa"/>
            <w:left w:w="108" w:type="dxa"/>
            <w:bottom w:w="0" w:type="dxa"/>
            <w:right w:w="108" w:type="dxa"/>
          </w:tblCellMar>
        </w:tblPrEx>
        <w:trPr>
          <w:trHeight w:val="510" w:hRule="atLeast"/>
          <w:jc w:val="center"/>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4253"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各类衍生工具的重置成本（扣除合格保证金，考虑双边净额结算协议的影响）</w:t>
            </w:r>
          </w:p>
        </w:tc>
        <w:tc>
          <w:tcPr>
            <w:tcW w:w="23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49 </w:t>
            </w:r>
          </w:p>
        </w:tc>
        <w:tc>
          <w:tcPr>
            <w:tcW w:w="239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61 </w:t>
            </w:r>
          </w:p>
        </w:tc>
      </w:tr>
      <w:tr>
        <w:tblPrEx>
          <w:tblCellMar>
            <w:top w:w="0" w:type="dxa"/>
            <w:left w:w="108" w:type="dxa"/>
            <w:bottom w:w="0" w:type="dxa"/>
            <w:right w:w="108" w:type="dxa"/>
          </w:tblCellMar>
        </w:tblPrEx>
        <w:trPr>
          <w:trHeight w:val="270" w:hRule="atLeast"/>
          <w:jc w:val="center"/>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4253"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各类衍生工具的潜在风险暴露</w:t>
            </w:r>
          </w:p>
        </w:tc>
        <w:tc>
          <w:tcPr>
            <w:tcW w:w="23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460 </w:t>
            </w:r>
          </w:p>
        </w:tc>
        <w:tc>
          <w:tcPr>
            <w:tcW w:w="239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850 </w:t>
            </w:r>
          </w:p>
        </w:tc>
      </w:tr>
      <w:tr>
        <w:tblPrEx>
          <w:tblCellMar>
            <w:top w:w="0" w:type="dxa"/>
            <w:left w:w="108" w:type="dxa"/>
            <w:bottom w:w="0" w:type="dxa"/>
            <w:right w:w="108" w:type="dxa"/>
          </w:tblCellMar>
        </w:tblPrEx>
        <w:trPr>
          <w:trHeight w:val="270" w:hRule="atLeast"/>
          <w:jc w:val="center"/>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4253"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已从资产负债表中扣除的抵质押品总和</w:t>
            </w:r>
          </w:p>
        </w:tc>
        <w:tc>
          <w:tcPr>
            <w:tcW w:w="23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239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r>
      <w:tr>
        <w:tblPrEx>
          <w:tblCellMar>
            <w:top w:w="0" w:type="dxa"/>
            <w:left w:w="108" w:type="dxa"/>
            <w:bottom w:w="0" w:type="dxa"/>
            <w:right w:w="108" w:type="dxa"/>
          </w:tblCellMar>
        </w:tblPrEx>
        <w:trPr>
          <w:trHeight w:val="270" w:hRule="atLeast"/>
          <w:jc w:val="center"/>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4253"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减：因提供合格保证金形成的应收资产</w:t>
            </w:r>
          </w:p>
        </w:tc>
        <w:tc>
          <w:tcPr>
            <w:tcW w:w="23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239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r>
      <w:tr>
        <w:tblPrEx>
          <w:tblCellMar>
            <w:top w:w="0" w:type="dxa"/>
            <w:left w:w="108" w:type="dxa"/>
            <w:bottom w:w="0" w:type="dxa"/>
            <w:right w:w="108" w:type="dxa"/>
          </w:tblCellMar>
        </w:tblPrEx>
        <w:trPr>
          <w:trHeight w:val="510" w:hRule="atLeast"/>
          <w:jc w:val="center"/>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4253"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减：为客户提供清算服务时与中央交易对手交易形成的衍生工具资产余额</w:t>
            </w:r>
          </w:p>
        </w:tc>
        <w:tc>
          <w:tcPr>
            <w:tcW w:w="23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239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r>
      <w:tr>
        <w:tblPrEx>
          <w:tblCellMar>
            <w:top w:w="0" w:type="dxa"/>
            <w:left w:w="108" w:type="dxa"/>
            <w:bottom w:w="0" w:type="dxa"/>
            <w:right w:w="108" w:type="dxa"/>
          </w:tblCellMar>
        </w:tblPrEx>
        <w:trPr>
          <w:trHeight w:val="270" w:hRule="atLeast"/>
          <w:jc w:val="center"/>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4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卖出信用衍生工具的名义本金</w:t>
            </w:r>
          </w:p>
        </w:tc>
        <w:tc>
          <w:tcPr>
            <w:tcW w:w="23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239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r>
      <w:tr>
        <w:tblPrEx>
          <w:tblCellMar>
            <w:top w:w="0" w:type="dxa"/>
            <w:left w:w="108" w:type="dxa"/>
            <w:bottom w:w="0" w:type="dxa"/>
            <w:right w:w="108" w:type="dxa"/>
          </w:tblCellMar>
        </w:tblPrEx>
        <w:trPr>
          <w:trHeight w:val="270" w:hRule="atLeast"/>
          <w:jc w:val="center"/>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4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减：可扣除的卖出信用衍生工具资产余额</w:t>
            </w:r>
          </w:p>
        </w:tc>
        <w:tc>
          <w:tcPr>
            <w:tcW w:w="23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239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r>
      <w:tr>
        <w:tblPrEx>
          <w:tblCellMar>
            <w:top w:w="0" w:type="dxa"/>
            <w:left w:w="108" w:type="dxa"/>
            <w:bottom w:w="0" w:type="dxa"/>
            <w:right w:w="108" w:type="dxa"/>
          </w:tblCellMar>
        </w:tblPrEx>
        <w:trPr>
          <w:trHeight w:val="270" w:hRule="atLeast"/>
          <w:jc w:val="center"/>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4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衍生工具资产余额</w:t>
            </w:r>
          </w:p>
        </w:tc>
        <w:tc>
          <w:tcPr>
            <w:tcW w:w="23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             509 </w:t>
            </w:r>
          </w:p>
        </w:tc>
        <w:tc>
          <w:tcPr>
            <w:tcW w:w="239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             911 </w:t>
            </w:r>
          </w:p>
        </w:tc>
      </w:tr>
      <w:tr>
        <w:tblPrEx>
          <w:tblCellMar>
            <w:top w:w="0" w:type="dxa"/>
            <w:left w:w="108" w:type="dxa"/>
            <w:bottom w:w="0" w:type="dxa"/>
            <w:right w:w="108" w:type="dxa"/>
          </w:tblCellMar>
        </w:tblPrEx>
        <w:trPr>
          <w:trHeight w:val="270" w:hRule="atLeast"/>
          <w:jc w:val="center"/>
        </w:trPr>
        <w:tc>
          <w:tcPr>
            <w:tcW w:w="10314" w:type="dxa"/>
            <w:gridSpan w:val="4"/>
            <w:tcBorders>
              <w:top w:val="single" w:color="auto" w:sz="4" w:space="0"/>
              <w:left w:val="single" w:color="auto" w:sz="4" w:space="0"/>
              <w:bottom w:val="single" w:color="auto" w:sz="4" w:space="0"/>
              <w:right w:val="single" w:color="auto" w:sz="4" w:space="0"/>
            </w:tcBorders>
            <w:shd w:val="clear" w:color="000000" w:fill="E7E6E6"/>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证券融资交易资产余额</w:t>
            </w:r>
          </w:p>
        </w:tc>
      </w:tr>
      <w:tr>
        <w:tblPrEx>
          <w:tblCellMar>
            <w:top w:w="0" w:type="dxa"/>
            <w:left w:w="108" w:type="dxa"/>
            <w:bottom w:w="0" w:type="dxa"/>
            <w:right w:w="108" w:type="dxa"/>
          </w:tblCellMar>
        </w:tblPrEx>
        <w:trPr>
          <w:trHeight w:val="270" w:hRule="atLeast"/>
          <w:jc w:val="center"/>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4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证券融资交易的会计资产余额</w:t>
            </w:r>
          </w:p>
        </w:tc>
        <w:tc>
          <w:tcPr>
            <w:tcW w:w="23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10,533,346 </w:t>
            </w:r>
          </w:p>
        </w:tc>
        <w:tc>
          <w:tcPr>
            <w:tcW w:w="239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14,775,582 </w:t>
            </w:r>
          </w:p>
        </w:tc>
      </w:tr>
      <w:tr>
        <w:tblPrEx>
          <w:tblCellMar>
            <w:top w:w="0" w:type="dxa"/>
            <w:left w:w="108" w:type="dxa"/>
            <w:bottom w:w="0" w:type="dxa"/>
            <w:right w:w="108" w:type="dxa"/>
          </w:tblCellMar>
        </w:tblPrEx>
        <w:trPr>
          <w:trHeight w:val="270" w:hRule="atLeast"/>
          <w:jc w:val="center"/>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4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减：可以扣除的证券融资交易资产余额</w:t>
            </w:r>
          </w:p>
        </w:tc>
        <w:tc>
          <w:tcPr>
            <w:tcW w:w="23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239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r>
      <w:tr>
        <w:tblPrEx>
          <w:tblCellMar>
            <w:top w:w="0" w:type="dxa"/>
            <w:left w:w="108" w:type="dxa"/>
            <w:bottom w:w="0" w:type="dxa"/>
            <w:right w:w="108" w:type="dxa"/>
          </w:tblCellMar>
        </w:tblPrEx>
        <w:trPr>
          <w:trHeight w:val="270" w:hRule="atLeast"/>
          <w:jc w:val="center"/>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4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证券融资交易的交易对手信用风险暴露</w:t>
            </w:r>
          </w:p>
        </w:tc>
        <w:tc>
          <w:tcPr>
            <w:tcW w:w="23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776,678 </w:t>
            </w:r>
          </w:p>
        </w:tc>
        <w:tc>
          <w:tcPr>
            <w:tcW w:w="239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1,043,395 </w:t>
            </w:r>
          </w:p>
        </w:tc>
      </w:tr>
      <w:tr>
        <w:tblPrEx>
          <w:tblCellMar>
            <w:top w:w="0" w:type="dxa"/>
            <w:left w:w="108" w:type="dxa"/>
            <w:bottom w:w="0" w:type="dxa"/>
            <w:right w:w="108" w:type="dxa"/>
          </w:tblCellMar>
        </w:tblPrEx>
        <w:trPr>
          <w:trHeight w:val="510" w:hRule="atLeast"/>
          <w:jc w:val="center"/>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4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代理证券融资交易形成的证券融资交易资产余额</w:t>
            </w:r>
          </w:p>
        </w:tc>
        <w:tc>
          <w:tcPr>
            <w:tcW w:w="23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239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r>
      <w:tr>
        <w:tblPrEx>
          <w:tblCellMar>
            <w:top w:w="0" w:type="dxa"/>
            <w:left w:w="108" w:type="dxa"/>
            <w:bottom w:w="0" w:type="dxa"/>
            <w:right w:w="108" w:type="dxa"/>
          </w:tblCellMar>
        </w:tblPrEx>
        <w:trPr>
          <w:trHeight w:val="270" w:hRule="atLeast"/>
          <w:jc w:val="center"/>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17</w:t>
            </w:r>
          </w:p>
        </w:tc>
        <w:tc>
          <w:tcPr>
            <w:tcW w:w="4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证券融资交易资产余额</w:t>
            </w:r>
          </w:p>
        </w:tc>
        <w:tc>
          <w:tcPr>
            <w:tcW w:w="23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      11,310,024 </w:t>
            </w:r>
          </w:p>
        </w:tc>
        <w:tc>
          <w:tcPr>
            <w:tcW w:w="239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      15,818,977 </w:t>
            </w:r>
          </w:p>
        </w:tc>
      </w:tr>
      <w:tr>
        <w:tblPrEx>
          <w:tblCellMar>
            <w:top w:w="0" w:type="dxa"/>
            <w:left w:w="108" w:type="dxa"/>
            <w:bottom w:w="0" w:type="dxa"/>
            <w:right w:w="108" w:type="dxa"/>
          </w:tblCellMar>
        </w:tblPrEx>
        <w:trPr>
          <w:trHeight w:val="270" w:hRule="atLeast"/>
          <w:jc w:val="center"/>
        </w:trPr>
        <w:tc>
          <w:tcPr>
            <w:tcW w:w="10314" w:type="dxa"/>
            <w:gridSpan w:val="4"/>
            <w:tcBorders>
              <w:top w:val="single" w:color="auto" w:sz="4" w:space="0"/>
              <w:left w:val="single" w:color="auto" w:sz="4" w:space="0"/>
              <w:bottom w:val="single" w:color="auto" w:sz="4" w:space="0"/>
              <w:right w:val="single" w:color="auto" w:sz="4" w:space="0"/>
            </w:tcBorders>
            <w:shd w:val="clear" w:color="000000" w:fill="E7E6E6"/>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表外项目余额 </w:t>
            </w:r>
          </w:p>
        </w:tc>
      </w:tr>
      <w:tr>
        <w:tblPrEx>
          <w:tblCellMar>
            <w:top w:w="0" w:type="dxa"/>
            <w:left w:w="108" w:type="dxa"/>
            <w:bottom w:w="0" w:type="dxa"/>
            <w:right w:w="108" w:type="dxa"/>
          </w:tblCellMar>
        </w:tblPrEx>
        <w:trPr>
          <w:trHeight w:val="270" w:hRule="atLeast"/>
          <w:jc w:val="center"/>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w:t>
            </w:r>
          </w:p>
        </w:tc>
        <w:tc>
          <w:tcPr>
            <w:tcW w:w="4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表外项目余额</w:t>
            </w:r>
          </w:p>
        </w:tc>
        <w:tc>
          <w:tcPr>
            <w:tcW w:w="23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39,832,452 </w:t>
            </w:r>
          </w:p>
        </w:tc>
        <w:tc>
          <w:tcPr>
            <w:tcW w:w="239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32,638,931 </w:t>
            </w:r>
          </w:p>
        </w:tc>
      </w:tr>
      <w:tr>
        <w:tblPrEx>
          <w:tblCellMar>
            <w:top w:w="0" w:type="dxa"/>
            <w:left w:w="108" w:type="dxa"/>
            <w:bottom w:w="0" w:type="dxa"/>
            <w:right w:w="108" w:type="dxa"/>
          </w:tblCellMar>
        </w:tblPrEx>
        <w:trPr>
          <w:trHeight w:val="270" w:hRule="atLeast"/>
          <w:jc w:val="center"/>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19</w:t>
            </w:r>
          </w:p>
        </w:tc>
        <w:tc>
          <w:tcPr>
            <w:tcW w:w="4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减：因信用转换调整的表外项目余额</w:t>
            </w:r>
          </w:p>
        </w:tc>
        <w:tc>
          <w:tcPr>
            <w:tcW w:w="23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-13,912,094 </w:t>
            </w:r>
          </w:p>
        </w:tc>
        <w:tc>
          <w:tcPr>
            <w:tcW w:w="239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-9,835,088 </w:t>
            </w:r>
          </w:p>
        </w:tc>
      </w:tr>
      <w:tr>
        <w:tblPrEx>
          <w:tblCellMar>
            <w:top w:w="0" w:type="dxa"/>
            <w:left w:w="108" w:type="dxa"/>
            <w:bottom w:w="0" w:type="dxa"/>
            <w:right w:w="108" w:type="dxa"/>
          </w:tblCellMar>
        </w:tblPrEx>
        <w:trPr>
          <w:trHeight w:val="270" w:hRule="atLeast"/>
          <w:jc w:val="center"/>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4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减：减值准备</w:t>
            </w:r>
          </w:p>
        </w:tc>
        <w:tc>
          <w:tcPr>
            <w:tcW w:w="23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-80,757 </w:t>
            </w:r>
          </w:p>
        </w:tc>
        <w:tc>
          <w:tcPr>
            <w:tcW w:w="239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-69,863 </w:t>
            </w:r>
          </w:p>
        </w:tc>
      </w:tr>
      <w:tr>
        <w:tblPrEx>
          <w:tblCellMar>
            <w:top w:w="0" w:type="dxa"/>
            <w:left w:w="108" w:type="dxa"/>
            <w:bottom w:w="0" w:type="dxa"/>
            <w:right w:w="108" w:type="dxa"/>
          </w:tblCellMar>
        </w:tblPrEx>
        <w:trPr>
          <w:trHeight w:val="270" w:hRule="atLeast"/>
          <w:jc w:val="center"/>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21</w:t>
            </w:r>
          </w:p>
        </w:tc>
        <w:tc>
          <w:tcPr>
            <w:tcW w:w="4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调整后的表外项目余额</w:t>
            </w:r>
          </w:p>
        </w:tc>
        <w:tc>
          <w:tcPr>
            <w:tcW w:w="23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      25,839,601 </w:t>
            </w:r>
          </w:p>
        </w:tc>
        <w:tc>
          <w:tcPr>
            <w:tcW w:w="239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      22,733,980 </w:t>
            </w:r>
          </w:p>
        </w:tc>
      </w:tr>
      <w:tr>
        <w:tblPrEx>
          <w:tblCellMar>
            <w:top w:w="0" w:type="dxa"/>
            <w:left w:w="108" w:type="dxa"/>
            <w:bottom w:w="0" w:type="dxa"/>
            <w:right w:w="108" w:type="dxa"/>
          </w:tblCellMar>
        </w:tblPrEx>
        <w:trPr>
          <w:trHeight w:val="270" w:hRule="atLeast"/>
          <w:jc w:val="center"/>
        </w:trPr>
        <w:tc>
          <w:tcPr>
            <w:tcW w:w="10314" w:type="dxa"/>
            <w:gridSpan w:val="4"/>
            <w:tcBorders>
              <w:top w:val="single" w:color="auto" w:sz="4" w:space="0"/>
              <w:left w:val="single" w:color="auto" w:sz="4" w:space="0"/>
              <w:bottom w:val="single" w:color="auto" w:sz="4" w:space="0"/>
              <w:right w:val="single" w:color="auto" w:sz="4" w:space="0"/>
            </w:tcBorders>
            <w:shd w:val="clear" w:color="000000" w:fill="E7E6E6"/>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一级资本净额和调整后表内外资产余额</w:t>
            </w:r>
          </w:p>
        </w:tc>
      </w:tr>
      <w:tr>
        <w:tblPrEx>
          <w:tblCellMar>
            <w:top w:w="0" w:type="dxa"/>
            <w:left w:w="108" w:type="dxa"/>
            <w:bottom w:w="0" w:type="dxa"/>
            <w:right w:w="108" w:type="dxa"/>
          </w:tblCellMar>
        </w:tblPrEx>
        <w:trPr>
          <w:trHeight w:val="270" w:hRule="atLeast"/>
          <w:jc w:val="center"/>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22</w:t>
            </w:r>
          </w:p>
        </w:tc>
        <w:tc>
          <w:tcPr>
            <w:tcW w:w="4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一级资本净额</w:t>
            </w:r>
          </w:p>
        </w:tc>
        <w:tc>
          <w:tcPr>
            <w:tcW w:w="23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19,997,554 </w:t>
            </w:r>
          </w:p>
        </w:tc>
        <w:tc>
          <w:tcPr>
            <w:tcW w:w="239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20,176,035 </w:t>
            </w:r>
          </w:p>
        </w:tc>
      </w:tr>
      <w:tr>
        <w:tblPrEx>
          <w:tblCellMar>
            <w:top w:w="0" w:type="dxa"/>
            <w:left w:w="108" w:type="dxa"/>
            <w:bottom w:w="0" w:type="dxa"/>
            <w:right w:w="108" w:type="dxa"/>
          </w:tblCellMar>
        </w:tblPrEx>
        <w:trPr>
          <w:trHeight w:val="270" w:hRule="atLeast"/>
          <w:jc w:val="center"/>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23</w:t>
            </w:r>
          </w:p>
        </w:tc>
        <w:tc>
          <w:tcPr>
            <w:tcW w:w="4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调整后表内外资产余额</w:t>
            </w:r>
          </w:p>
        </w:tc>
        <w:tc>
          <w:tcPr>
            <w:tcW w:w="23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316,697,881 </w:t>
            </w:r>
          </w:p>
        </w:tc>
        <w:tc>
          <w:tcPr>
            <w:tcW w:w="239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309,599,786 </w:t>
            </w:r>
          </w:p>
        </w:tc>
      </w:tr>
      <w:tr>
        <w:tblPrEx>
          <w:tblCellMar>
            <w:top w:w="0" w:type="dxa"/>
            <w:left w:w="108" w:type="dxa"/>
            <w:bottom w:w="0" w:type="dxa"/>
            <w:right w:w="108" w:type="dxa"/>
          </w:tblCellMar>
        </w:tblPrEx>
        <w:trPr>
          <w:trHeight w:val="270" w:hRule="atLeast"/>
          <w:jc w:val="center"/>
        </w:trPr>
        <w:tc>
          <w:tcPr>
            <w:tcW w:w="10314" w:type="dxa"/>
            <w:gridSpan w:val="4"/>
            <w:tcBorders>
              <w:top w:val="single" w:color="auto" w:sz="4" w:space="0"/>
              <w:left w:val="single" w:color="auto" w:sz="4" w:space="0"/>
              <w:bottom w:val="single" w:color="auto" w:sz="4" w:space="0"/>
              <w:right w:val="single" w:color="auto" w:sz="4" w:space="0"/>
            </w:tcBorders>
            <w:shd w:val="clear" w:color="000000" w:fill="E7E6E6"/>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杠杆率</w:t>
            </w:r>
          </w:p>
        </w:tc>
      </w:tr>
      <w:tr>
        <w:tblPrEx>
          <w:tblCellMar>
            <w:top w:w="0" w:type="dxa"/>
            <w:left w:w="108" w:type="dxa"/>
            <w:bottom w:w="0" w:type="dxa"/>
            <w:right w:w="108" w:type="dxa"/>
          </w:tblCellMar>
        </w:tblPrEx>
        <w:trPr>
          <w:trHeight w:val="270" w:hRule="atLeast"/>
          <w:jc w:val="center"/>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w:t>
            </w:r>
          </w:p>
        </w:tc>
        <w:tc>
          <w:tcPr>
            <w:tcW w:w="4253"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杠杆率（%）</w:t>
            </w:r>
          </w:p>
        </w:tc>
        <w:tc>
          <w:tcPr>
            <w:tcW w:w="23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6.31</w:t>
            </w:r>
          </w:p>
        </w:tc>
        <w:tc>
          <w:tcPr>
            <w:tcW w:w="239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6.52</w:t>
            </w:r>
          </w:p>
        </w:tc>
      </w:tr>
      <w:tr>
        <w:tblPrEx>
          <w:tblCellMar>
            <w:top w:w="0" w:type="dxa"/>
            <w:left w:w="108" w:type="dxa"/>
            <w:bottom w:w="0" w:type="dxa"/>
            <w:right w:w="108" w:type="dxa"/>
          </w:tblCellMar>
        </w:tblPrEx>
        <w:trPr>
          <w:trHeight w:val="270" w:hRule="atLeast"/>
          <w:jc w:val="center"/>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24a</w:t>
            </w:r>
          </w:p>
        </w:tc>
        <w:tc>
          <w:tcPr>
            <w:tcW w:w="4253"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杠杆率a（%）</w:t>
            </w:r>
          </w:p>
        </w:tc>
        <w:tc>
          <w:tcPr>
            <w:tcW w:w="23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6.31</w:t>
            </w:r>
          </w:p>
        </w:tc>
        <w:tc>
          <w:tcPr>
            <w:tcW w:w="239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6.52</w:t>
            </w:r>
          </w:p>
        </w:tc>
      </w:tr>
      <w:tr>
        <w:tblPrEx>
          <w:tblCellMar>
            <w:top w:w="0" w:type="dxa"/>
            <w:left w:w="108" w:type="dxa"/>
            <w:bottom w:w="0" w:type="dxa"/>
            <w:right w:w="108" w:type="dxa"/>
          </w:tblCellMar>
        </w:tblPrEx>
        <w:trPr>
          <w:trHeight w:val="270" w:hRule="atLeast"/>
          <w:jc w:val="center"/>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w:t>
            </w:r>
          </w:p>
        </w:tc>
        <w:tc>
          <w:tcPr>
            <w:tcW w:w="4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最低杠杆率要求（%）</w:t>
            </w:r>
          </w:p>
        </w:tc>
        <w:tc>
          <w:tcPr>
            <w:tcW w:w="23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4.00</w:t>
            </w:r>
          </w:p>
        </w:tc>
        <w:tc>
          <w:tcPr>
            <w:tcW w:w="239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4.00</w:t>
            </w:r>
          </w:p>
        </w:tc>
      </w:tr>
    </w:tbl>
    <w:p>
      <w:pPr>
        <w:spacing w:line="360" w:lineRule="auto"/>
        <w:rPr>
          <w:rFonts w:cs="Times New Roman" w:asciiTheme="minorEastAsia" w:hAnsiTheme="minorEastAsia"/>
          <w:color w:val="000000"/>
          <w:sz w:val="24"/>
          <w:szCs w:val="24"/>
        </w:rPr>
      </w:pPr>
    </w:p>
    <w:p>
      <w:pPr>
        <w:spacing w:line="360" w:lineRule="auto"/>
        <w:rPr>
          <w:rFonts w:cs="Times New Roman" w:asciiTheme="minorEastAsia" w:hAnsiTheme="minorEastAsia"/>
          <w:color w:val="000000"/>
          <w:sz w:val="24"/>
          <w:szCs w:val="24"/>
        </w:rPr>
      </w:pPr>
    </w:p>
    <w:sectPr>
      <w:footerReference r:id="rId3" w:type="default"/>
      <w:pgSz w:w="11906" w:h="16838"/>
      <w:pgMar w:top="1247" w:right="1797" w:bottom="1247"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4141187"/>
      <w:docPartObj>
        <w:docPartGallery w:val="autotext"/>
      </w:docPartObj>
    </w:sdtPr>
    <w:sdtEndPr>
      <w:rPr>
        <w:rFonts w:asciiTheme="minorEastAsia" w:hAnsiTheme="minorEastAsia"/>
        <w:sz w:val="24"/>
        <w:szCs w:val="24"/>
      </w:rPr>
    </w:sdtEndPr>
    <w:sdtContent>
      <w:p>
        <w:pPr>
          <w:pStyle w:val="6"/>
          <w:jc w:val="center"/>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PAGE   \* MERGEFORMAT</w:instrText>
        </w:r>
        <w:r>
          <w:rPr>
            <w:rFonts w:asciiTheme="minorEastAsia" w:hAnsiTheme="minorEastAsia"/>
            <w:sz w:val="24"/>
            <w:szCs w:val="24"/>
          </w:rPr>
          <w:fldChar w:fldCharType="separate"/>
        </w:r>
        <w:r>
          <w:rPr>
            <w:rFonts w:asciiTheme="minorEastAsia" w:hAnsiTheme="minorEastAsia"/>
            <w:sz w:val="24"/>
            <w:szCs w:val="24"/>
            <w:lang w:val="zh-CN"/>
          </w:rPr>
          <w:t>9</w:t>
        </w:r>
        <w:r>
          <w:rPr>
            <w:rFonts w:asciiTheme="minorEastAsia" w:hAnsiTheme="minorEastAsia"/>
            <w:sz w:val="24"/>
            <w:szCs w:val="24"/>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936AC1"/>
    <w:rsid w:val="00002898"/>
    <w:rsid w:val="00006131"/>
    <w:rsid w:val="0000779D"/>
    <w:rsid w:val="00011695"/>
    <w:rsid w:val="00012313"/>
    <w:rsid w:val="00015208"/>
    <w:rsid w:val="00015863"/>
    <w:rsid w:val="00015A56"/>
    <w:rsid w:val="00022586"/>
    <w:rsid w:val="00023D19"/>
    <w:rsid w:val="00024574"/>
    <w:rsid w:val="00024946"/>
    <w:rsid w:val="0002509A"/>
    <w:rsid w:val="00030DFE"/>
    <w:rsid w:val="00033530"/>
    <w:rsid w:val="000359D8"/>
    <w:rsid w:val="00035C08"/>
    <w:rsid w:val="00036D74"/>
    <w:rsid w:val="00040FC9"/>
    <w:rsid w:val="00041FC8"/>
    <w:rsid w:val="000443FC"/>
    <w:rsid w:val="000449A0"/>
    <w:rsid w:val="0004612B"/>
    <w:rsid w:val="00046240"/>
    <w:rsid w:val="00046ED7"/>
    <w:rsid w:val="000508E7"/>
    <w:rsid w:val="00050C83"/>
    <w:rsid w:val="00051EDF"/>
    <w:rsid w:val="00051FD3"/>
    <w:rsid w:val="0005327B"/>
    <w:rsid w:val="00054373"/>
    <w:rsid w:val="000567B8"/>
    <w:rsid w:val="0005707B"/>
    <w:rsid w:val="0005711A"/>
    <w:rsid w:val="00060938"/>
    <w:rsid w:val="00063F9F"/>
    <w:rsid w:val="00063FAE"/>
    <w:rsid w:val="00065116"/>
    <w:rsid w:val="000707E6"/>
    <w:rsid w:val="000719B9"/>
    <w:rsid w:val="0007255C"/>
    <w:rsid w:val="0007265D"/>
    <w:rsid w:val="0007419D"/>
    <w:rsid w:val="00074EF1"/>
    <w:rsid w:val="00076030"/>
    <w:rsid w:val="00076B4A"/>
    <w:rsid w:val="00077AF6"/>
    <w:rsid w:val="00077D54"/>
    <w:rsid w:val="0008126C"/>
    <w:rsid w:val="00082A7B"/>
    <w:rsid w:val="00082C96"/>
    <w:rsid w:val="00083059"/>
    <w:rsid w:val="00086AC4"/>
    <w:rsid w:val="00090A1A"/>
    <w:rsid w:val="00090F43"/>
    <w:rsid w:val="0009299B"/>
    <w:rsid w:val="00093B8B"/>
    <w:rsid w:val="0009484C"/>
    <w:rsid w:val="000952CD"/>
    <w:rsid w:val="000A05A1"/>
    <w:rsid w:val="000A3596"/>
    <w:rsid w:val="000A3D89"/>
    <w:rsid w:val="000A44EF"/>
    <w:rsid w:val="000A5744"/>
    <w:rsid w:val="000B0607"/>
    <w:rsid w:val="000B1038"/>
    <w:rsid w:val="000B26F4"/>
    <w:rsid w:val="000B3677"/>
    <w:rsid w:val="000B37BB"/>
    <w:rsid w:val="000B6FCC"/>
    <w:rsid w:val="000B7007"/>
    <w:rsid w:val="000B7857"/>
    <w:rsid w:val="000C0099"/>
    <w:rsid w:val="000C2F89"/>
    <w:rsid w:val="000C3CC2"/>
    <w:rsid w:val="000C3D14"/>
    <w:rsid w:val="000C568A"/>
    <w:rsid w:val="000C59DE"/>
    <w:rsid w:val="000C65DB"/>
    <w:rsid w:val="000C6818"/>
    <w:rsid w:val="000C7718"/>
    <w:rsid w:val="000D0D16"/>
    <w:rsid w:val="000D0F91"/>
    <w:rsid w:val="000D33AE"/>
    <w:rsid w:val="000D38E7"/>
    <w:rsid w:val="000D43FB"/>
    <w:rsid w:val="000D5844"/>
    <w:rsid w:val="000E18CD"/>
    <w:rsid w:val="000E3D47"/>
    <w:rsid w:val="000E4D1C"/>
    <w:rsid w:val="000E5B3B"/>
    <w:rsid w:val="000E5D09"/>
    <w:rsid w:val="000E779C"/>
    <w:rsid w:val="000F0646"/>
    <w:rsid w:val="000F1486"/>
    <w:rsid w:val="000F5959"/>
    <w:rsid w:val="000F5E93"/>
    <w:rsid w:val="0010253D"/>
    <w:rsid w:val="00104E16"/>
    <w:rsid w:val="00105D3F"/>
    <w:rsid w:val="00107DCA"/>
    <w:rsid w:val="001106CA"/>
    <w:rsid w:val="00110F7E"/>
    <w:rsid w:val="00111872"/>
    <w:rsid w:val="00112D85"/>
    <w:rsid w:val="001138C1"/>
    <w:rsid w:val="00114DCA"/>
    <w:rsid w:val="00116AE8"/>
    <w:rsid w:val="0011793D"/>
    <w:rsid w:val="00120A5B"/>
    <w:rsid w:val="00121EA8"/>
    <w:rsid w:val="001260F3"/>
    <w:rsid w:val="00126B42"/>
    <w:rsid w:val="0013355B"/>
    <w:rsid w:val="001336ED"/>
    <w:rsid w:val="001340A3"/>
    <w:rsid w:val="00134459"/>
    <w:rsid w:val="0013618C"/>
    <w:rsid w:val="00137392"/>
    <w:rsid w:val="001417E4"/>
    <w:rsid w:val="00142834"/>
    <w:rsid w:val="00143D89"/>
    <w:rsid w:val="001459DE"/>
    <w:rsid w:val="00145D3D"/>
    <w:rsid w:val="001460A3"/>
    <w:rsid w:val="0014629F"/>
    <w:rsid w:val="001465F9"/>
    <w:rsid w:val="00150C65"/>
    <w:rsid w:val="00150D9A"/>
    <w:rsid w:val="001517C2"/>
    <w:rsid w:val="00151832"/>
    <w:rsid w:val="001539C3"/>
    <w:rsid w:val="0015757A"/>
    <w:rsid w:val="00157747"/>
    <w:rsid w:val="001619CF"/>
    <w:rsid w:val="00162458"/>
    <w:rsid w:val="00162772"/>
    <w:rsid w:val="00164D31"/>
    <w:rsid w:val="001705D1"/>
    <w:rsid w:val="001709C0"/>
    <w:rsid w:val="00170E8A"/>
    <w:rsid w:val="00176945"/>
    <w:rsid w:val="00181680"/>
    <w:rsid w:val="0018348D"/>
    <w:rsid w:val="00183C67"/>
    <w:rsid w:val="00183C8D"/>
    <w:rsid w:val="00186A7D"/>
    <w:rsid w:val="00195667"/>
    <w:rsid w:val="0019650D"/>
    <w:rsid w:val="001A47E3"/>
    <w:rsid w:val="001A4CCD"/>
    <w:rsid w:val="001A5E56"/>
    <w:rsid w:val="001A7486"/>
    <w:rsid w:val="001B1CCB"/>
    <w:rsid w:val="001B2F8B"/>
    <w:rsid w:val="001B3ED9"/>
    <w:rsid w:val="001B3FDB"/>
    <w:rsid w:val="001B4164"/>
    <w:rsid w:val="001B4F17"/>
    <w:rsid w:val="001C0AB6"/>
    <w:rsid w:val="001C43AB"/>
    <w:rsid w:val="001C67DD"/>
    <w:rsid w:val="001D05AB"/>
    <w:rsid w:val="001D0A8F"/>
    <w:rsid w:val="001D135D"/>
    <w:rsid w:val="001D16D3"/>
    <w:rsid w:val="001D2B10"/>
    <w:rsid w:val="001D2C3E"/>
    <w:rsid w:val="001D2EDF"/>
    <w:rsid w:val="001D502E"/>
    <w:rsid w:val="001D569A"/>
    <w:rsid w:val="001D6D8A"/>
    <w:rsid w:val="001D7C02"/>
    <w:rsid w:val="001E111F"/>
    <w:rsid w:val="001E4A20"/>
    <w:rsid w:val="001E4E72"/>
    <w:rsid w:val="001E5128"/>
    <w:rsid w:val="001E5A2A"/>
    <w:rsid w:val="001E5B0E"/>
    <w:rsid w:val="001E5DE1"/>
    <w:rsid w:val="001F19F4"/>
    <w:rsid w:val="001F34CC"/>
    <w:rsid w:val="001F47EE"/>
    <w:rsid w:val="001F5304"/>
    <w:rsid w:val="001F60B5"/>
    <w:rsid w:val="001F640B"/>
    <w:rsid w:val="00200B39"/>
    <w:rsid w:val="002011C9"/>
    <w:rsid w:val="00202C2D"/>
    <w:rsid w:val="002066D1"/>
    <w:rsid w:val="0020743D"/>
    <w:rsid w:val="002075AF"/>
    <w:rsid w:val="00207FB9"/>
    <w:rsid w:val="00210847"/>
    <w:rsid w:val="00210A86"/>
    <w:rsid w:val="00210ADA"/>
    <w:rsid w:val="0021319E"/>
    <w:rsid w:val="00214B95"/>
    <w:rsid w:val="00214D9E"/>
    <w:rsid w:val="00216FA3"/>
    <w:rsid w:val="00220BC5"/>
    <w:rsid w:val="00221414"/>
    <w:rsid w:val="002222E3"/>
    <w:rsid w:val="0022444E"/>
    <w:rsid w:val="00224998"/>
    <w:rsid w:val="002257B2"/>
    <w:rsid w:val="00226CB6"/>
    <w:rsid w:val="00227408"/>
    <w:rsid w:val="002315A6"/>
    <w:rsid w:val="0023199D"/>
    <w:rsid w:val="00232585"/>
    <w:rsid w:val="00233AA8"/>
    <w:rsid w:val="00235190"/>
    <w:rsid w:val="00237C86"/>
    <w:rsid w:val="00242A1D"/>
    <w:rsid w:val="00242E10"/>
    <w:rsid w:val="0024380A"/>
    <w:rsid w:val="00245BC0"/>
    <w:rsid w:val="0025041A"/>
    <w:rsid w:val="00252ABC"/>
    <w:rsid w:val="00255022"/>
    <w:rsid w:val="002574ED"/>
    <w:rsid w:val="00257BA0"/>
    <w:rsid w:val="00260571"/>
    <w:rsid w:val="0026222C"/>
    <w:rsid w:val="00262C01"/>
    <w:rsid w:val="00262C84"/>
    <w:rsid w:val="00264ED6"/>
    <w:rsid w:val="00266236"/>
    <w:rsid w:val="00266F50"/>
    <w:rsid w:val="0026735F"/>
    <w:rsid w:val="002676EA"/>
    <w:rsid w:val="002712B7"/>
    <w:rsid w:val="00271B20"/>
    <w:rsid w:val="00271B98"/>
    <w:rsid w:val="00272D70"/>
    <w:rsid w:val="0027455F"/>
    <w:rsid w:val="00275CA4"/>
    <w:rsid w:val="00275F26"/>
    <w:rsid w:val="00276E0B"/>
    <w:rsid w:val="00277A5A"/>
    <w:rsid w:val="00277CB3"/>
    <w:rsid w:val="002812DF"/>
    <w:rsid w:val="00282E26"/>
    <w:rsid w:val="00283B9E"/>
    <w:rsid w:val="00284174"/>
    <w:rsid w:val="00284AA7"/>
    <w:rsid w:val="002919AD"/>
    <w:rsid w:val="002931AF"/>
    <w:rsid w:val="00293720"/>
    <w:rsid w:val="002937E8"/>
    <w:rsid w:val="00295A56"/>
    <w:rsid w:val="002960EE"/>
    <w:rsid w:val="002964CA"/>
    <w:rsid w:val="002A0352"/>
    <w:rsid w:val="002A0D30"/>
    <w:rsid w:val="002A644A"/>
    <w:rsid w:val="002A6FF8"/>
    <w:rsid w:val="002B2636"/>
    <w:rsid w:val="002B4A8F"/>
    <w:rsid w:val="002B5EC7"/>
    <w:rsid w:val="002B60BC"/>
    <w:rsid w:val="002B7732"/>
    <w:rsid w:val="002B7B53"/>
    <w:rsid w:val="002C0876"/>
    <w:rsid w:val="002C0CA0"/>
    <w:rsid w:val="002C231E"/>
    <w:rsid w:val="002C4633"/>
    <w:rsid w:val="002C4914"/>
    <w:rsid w:val="002C4F82"/>
    <w:rsid w:val="002C5251"/>
    <w:rsid w:val="002C68B0"/>
    <w:rsid w:val="002C7A7B"/>
    <w:rsid w:val="002D0702"/>
    <w:rsid w:val="002D65C1"/>
    <w:rsid w:val="002D719F"/>
    <w:rsid w:val="002D74E6"/>
    <w:rsid w:val="002D7B52"/>
    <w:rsid w:val="002E0216"/>
    <w:rsid w:val="002E11CE"/>
    <w:rsid w:val="002E2440"/>
    <w:rsid w:val="002E3253"/>
    <w:rsid w:val="002E660F"/>
    <w:rsid w:val="002E690E"/>
    <w:rsid w:val="002E740D"/>
    <w:rsid w:val="002F1D8D"/>
    <w:rsid w:val="002F5A70"/>
    <w:rsid w:val="002F6C19"/>
    <w:rsid w:val="002F6E20"/>
    <w:rsid w:val="002F7D49"/>
    <w:rsid w:val="00302AA5"/>
    <w:rsid w:val="00302BA7"/>
    <w:rsid w:val="00302D80"/>
    <w:rsid w:val="00302F04"/>
    <w:rsid w:val="0030436B"/>
    <w:rsid w:val="0030637B"/>
    <w:rsid w:val="00307A85"/>
    <w:rsid w:val="00310BBF"/>
    <w:rsid w:val="00311FBC"/>
    <w:rsid w:val="00313238"/>
    <w:rsid w:val="00315793"/>
    <w:rsid w:val="0031595F"/>
    <w:rsid w:val="003176BF"/>
    <w:rsid w:val="00321EF7"/>
    <w:rsid w:val="00322587"/>
    <w:rsid w:val="00323078"/>
    <w:rsid w:val="00324965"/>
    <w:rsid w:val="00325C09"/>
    <w:rsid w:val="00326E56"/>
    <w:rsid w:val="00327DD1"/>
    <w:rsid w:val="00330BA2"/>
    <w:rsid w:val="0033256C"/>
    <w:rsid w:val="00333002"/>
    <w:rsid w:val="00334090"/>
    <w:rsid w:val="003346FC"/>
    <w:rsid w:val="00337655"/>
    <w:rsid w:val="00337B6D"/>
    <w:rsid w:val="00337F3C"/>
    <w:rsid w:val="00341C75"/>
    <w:rsid w:val="00342433"/>
    <w:rsid w:val="00344942"/>
    <w:rsid w:val="00344E27"/>
    <w:rsid w:val="00346BC4"/>
    <w:rsid w:val="003510AF"/>
    <w:rsid w:val="003558A8"/>
    <w:rsid w:val="00355BEA"/>
    <w:rsid w:val="00356BEB"/>
    <w:rsid w:val="00357201"/>
    <w:rsid w:val="003626F9"/>
    <w:rsid w:val="00362A27"/>
    <w:rsid w:val="00362FA2"/>
    <w:rsid w:val="003633EA"/>
    <w:rsid w:val="0036392B"/>
    <w:rsid w:val="0036540C"/>
    <w:rsid w:val="00366F42"/>
    <w:rsid w:val="00371B3D"/>
    <w:rsid w:val="00372145"/>
    <w:rsid w:val="00373322"/>
    <w:rsid w:val="003734CD"/>
    <w:rsid w:val="00375086"/>
    <w:rsid w:val="003766F7"/>
    <w:rsid w:val="003773BA"/>
    <w:rsid w:val="00380C94"/>
    <w:rsid w:val="00381A7F"/>
    <w:rsid w:val="00381C41"/>
    <w:rsid w:val="0038335A"/>
    <w:rsid w:val="003834F8"/>
    <w:rsid w:val="003864F7"/>
    <w:rsid w:val="003904A9"/>
    <w:rsid w:val="00390C5A"/>
    <w:rsid w:val="00390DF9"/>
    <w:rsid w:val="0039286D"/>
    <w:rsid w:val="00392D86"/>
    <w:rsid w:val="0039454D"/>
    <w:rsid w:val="00394BE2"/>
    <w:rsid w:val="00394FC0"/>
    <w:rsid w:val="00396377"/>
    <w:rsid w:val="00397E11"/>
    <w:rsid w:val="00397FD1"/>
    <w:rsid w:val="003A05EE"/>
    <w:rsid w:val="003A07B5"/>
    <w:rsid w:val="003A2985"/>
    <w:rsid w:val="003A6A5F"/>
    <w:rsid w:val="003A6A9E"/>
    <w:rsid w:val="003A6B13"/>
    <w:rsid w:val="003A6BBB"/>
    <w:rsid w:val="003A6BFC"/>
    <w:rsid w:val="003B3E6E"/>
    <w:rsid w:val="003B5E3D"/>
    <w:rsid w:val="003B6613"/>
    <w:rsid w:val="003B7FFE"/>
    <w:rsid w:val="003C0509"/>
    <w:rsid w:val="003C72DB"/>
    <w:rsid w:val="003D0D2B"/>
    <w:rsid w:val="003D117C"/>
    <w:rsid w:val="003D2D49"/>
    <w:rsid w:val="003D472D"/>
    <w:rsid w:val="003D657F"/>
    <w:rsid w:val="003D7D7D"/>
    <w:rsid w:val="003E319F"/>
    <w:rsid w:val="003E37CE"/>
    <w:rsid w:val="003E3E1D"/>
    <w:rsid w:val="003E606C"/>
    <w:rsid w:val="003F1C94"/>
    <w:rsid w:val="003F1ED3"/>
    <w:rsid w:val="003F2E84"/>
    <w:rsid w:val="003F5874"/>
    <w:rsid w:val="0040261E"/>
    <w:rsid w:val="00404286"/>
    <w:rsid w:val="00407114"/>
    <w:rsid w:val="00410750"/>
    <w:rsid w:val="00411E20"/>
    <w:rsid w:val="00415131"/>
    <w:rsid w:val="00415201"/>
    <w:rsid w:val="004166AE"/>
    <w:rsid w:val="004172ED"/>
    <w:rsid w:val="00417CC3"/>
    <w:rsid w:val="004204A5"/>
    <w:rsid w:val="00421191"/>
    <w:rsid w:val="00421783"/>
    <w:rsid w:val="00422BA1"/>
    <w:rsid w:val="00422E5A"/>
    <w:rsid w:val="00424FF0"/>
    <w:rsid w:val="0042501B"/>
    <w:rsid w:val="00425CF6"/>
    <w:rsid w:val="004328FE"/>
    <w:rsid w:val="00432BD1"/>
    <w:rsid w:val="0043307B"/>
    <w:rsid w:val="0043589D"/>
    <w:rsid w:val="00435DEC"/>
    <w:rsid w:val="004365E0"/>
    <w:rsid w:val="00436C67"/>
    <w:rsid w:val="0044048F"/>
    <w:rsid w:val="00440D2E"/>
    <w:rsid w:val="00442209"/>
    <w:rsid w:val="0044253B"/>
    <w:rsid w:val="004425D3"/>
    <w:rsid w:val="00444472"/>
    <w:rsid w:val="004448A4"/>
    <w:rsid w:val="00447ED6"/>
    <w:rsid w:val="0045283E"/>
    <w:rsid w:val="00453F52"/>
    <w:rsid w:val="004559BA"/>
    <w:rsid w:val="00456EFE"/>
    <w:rsid w:val="0045702E"/>
    <w:rsid w:val="00457E4C"/>
    <w:rsid w:val="00460725"/>
    <w:rsid w:val="0046184F"/>
    <w:rsid w:val="004627AB"/>
    <w:rsid w:val="00462950"/>
    <w:rsid w:val="00462E94"/>
    <w:rsid w:val="00464B58"/>
    <w:rsid w:val="00465105"/>
    <w:rsid w:val="00465D09"/>
    <w:rsid w:val="004665C6"/>
    <w:rsid w:val="0047136C"/>
    <w:rsid w:val="00472B9A"/>
    <w:rsid w:val="0047354A"/>
    <w:rsid w:val="00474AA2"/>
    <w:rsid w:val="00474CDC"/>
    <w:rsid w:val="00475D30"/>
    <w:rsid w:val="004819A7"/>
    <w:rsid w:val="00485759"/>
    <w:rsid w:val="00485CF7"/>
    <w:rsid w:val="00487353"/>
    <w:rsid w:val="004876DC"/>
    <w:rsid w:val="00490F8B"/>
    <w:rsid w:val="0049105F"/>
    <w:rsid w:val="004910FF"/>
    <w:rsid w:val="004926BD"/>
    <w:rsid w:val="0049293A"/>
    <w:rsid w:val="0049393C"/>
    <w:rsid w:val="00494EC1"/>
    <w:rsid w:val="00496523"/>
    <w:rsid w:val="004A02FC"/>
    <w:rsid w:val="004A0948"/>
    <w:rsid w:val="004A2809"/>
    <w:rsid w:val="004A3BE2"/>
    <w:rsid w:val="004A6721"/>
    <w:rsid w:val="004A69AF"/>
    <w:rsid w:val="004A6F46"/>
    <w:rsid w:val="004A71BF"/>
    <w:rsid w:val="004B1638"/>
    <w:rsid w:val="004B3164"/>
    <w:rsid w:val="004B69F4"/>
    <w:rsid w:val="004C1823"/>
    <w:rsid w:val="004C3959"/>
    <w:rsid w:val="004C49CF"/>
    <w:rsid w:val="004C6745"/>
    <w:rsid w:val="004C7DCA"/>
    <w:rsid w:val="004D150B"/>
    <w:rsid w:val="004D18E1"/>
    <w:rsid w:val="004D1BB7"/>
    <w:rsid w:val="004D313F"/>
    <w:rsid w:val="004D43C2"/>
    <w:rsid w:val="004D4788"/>
    <w:rsid w:val="004D7434"/>
    <w:rsid w:val="004E2170"/>
    <w:rsid w:val="004E26BD"/>
    <w:rsid w:val="004E3C35"/>
    <w:rsid w:val="004E53CE"/>
    <w:rsid w:val="004E5579"/>
    <w:rsid w:val="004E61BE"/>
    <w:rsid w:val="004E6928"/>
    <w:rsid w:val="004E6B7D"/>
    <w:rsid w:val="004F3E50"/>
    <w:rsid w:val="004F54AD"/>
    <w:rsid w:val="004F673C"/>
    <w:rsid w:val="00501AE9"/>
    <w:rsid w:val="005038CE"/>
    <w:rsid w:val="00504E0D"/>
    <w:rsid w:val="005102DB"/>
    <w:rsid w:val="00513045"/>
    <w:rsid w:val="00513E4B"/>
    <w:rsid w:val="00514D1C"/>
    <w:rsid w:val="005153A4"/>
    <w:rsid w:val="00515E9E"/>
    <w:rsid w:val="00516B97"/>
    <w:rsid w:val="00523DDC"/>
    <w:rsid w:val="00525B6F"/>
    <w:rsid w:val="005272AE"/>
    <w:rsid w:val="00530B19"/>
    <w:rsid w:val="00530C85"/>
    <w:rsid w:val="005316D0"/>
    <w:rsid w:val="0053287D"/>
    <w:rsid w:val="00532962"/>
    <w:rsid w:val="00535057"/>
    <w:rsid w:val="0053651B"/>
    <w:rsid w:val="0054001D"/>
    <w:rsid w:val="00540566"/>
    <w:rsid w:val="00545715"/>
    <w:rsid w:val="00546857"/>
    <w:rsid w:val="005512B0"/>
    <w:rsid w:val="00552EFD"/>
    <w:rsid w:val="005531BC"/>
    <w:rsid w:val="00557343"/>
    <w:rsid w:val="005619FB"/>
    <w:rsid w:val="00561F7C"/>
    <w:rsid w:val="005630E2"/>
    <w:rsid w:val="00570BFC"/>
    <w:rsid w:val="00572CCA"/>
    <w:rsid w:val="00574CFA"/>
    <w:rsid w:val="005750A3"/>
    <w:rsid w:val="005769A3"/>
    <w:rsid w:val="005774AF"/>
    <w:rsid w:val="0059129C"/>
    <w:rsid w:val="005927B9"/>
    <w:rsid w:val="00595117"/>
    <w:rsid w:val="005A0286"/>
    <w:rsid w:val="005A10D2"/>
    <w:rsid w:val="005A1161"/>
    <w:rsid w:val="005A25B4"/>
    <w:rsid w:val="005A4C2B"/>
    <w:rsid w:val="005B0229"/>
    <w:rsid w:val="005B06AA"/>
    <w:rsid w:val="005B2573"/>
    <w:rsid w:val="005B30AD"/>
    <w:rsid w:val="005B33C9"/>
    <w:rsid w:val="005B5EE0"/>
    <w:rsid w:val="005B7DA8"/>
    <w:rsid w:val="005C0D48"/>
    <w:rsid w:val="005C0F2A"/>
    <w:rsid w:val="005C1C5D"/>
    <w:rsid w:val="005C2003"/>
    <w:rsid w:val="005C42CB"/>
    <w:rsid w:val="005C7703"/>
    <w:rsid w:val="005D3CF9"/>
    <w:rsid w:val="005D3DF6"/>
    <w:rsid w:val="005D4DA5"/>
    <w:rsid w:val="005D6809"/>
    <w:rsid w:val="005E452C"/>
    <w:rsid w:val="005F40AD"/>
    <w:rsid w:val="005F50DF"/>
    <w:rsid w:val="005F61FB"/>
    <w:rsid w:val="005F7CF6"/>
    <w:rsid w:val="005F7DC7"/>
    <w:rsid w:val="0060232C"/>
    <w:rsid w:val="006029FA"/>
    <w:rsid w:val="006043F5"/>
    <w:rsid w:val="00610C96"/>
    <w:rsid w:val="0061113C"/>
    <w:rsid w:val="006114A3"/>
    <w:rsid w:val="006119BA"/>
    <w:rsid w:val="00611CBE"/>
    <w:rsid w:val="00614817"/>
    <w:rsid w:val="0062018A"/>
    <w:rsid w:val="00620A08"/>
    <w:rsid w:val="00625B55"/>
    <w:rsid w:val="0063066B"/>
    <w:rsid w:val="00631398"/>
    <w:rsid w:val="00634E4C"/>
    <w:rsid w:val="00637657"/>
    <w:rsid w:val="00637FAC"/>
    <w:rsid w:val="00641A72"/>
    <w:rsid w:val="00641B66"/>
    <w:rsid w:val="00643A17"/>
    <w:rsid w:val="00643A6D"/>
    <w:rsid w:val="006444C7"/>
    <w:rsid w:val="00644B61"/>
    <w:rsid w:val="00644D3D"/>
    <w:rsid w:val="00646074"/>
    <w:rsid w:val="00650A6B"/>
    <w:rsid w:val="00652D85"/>
    <w:rsid w:val="00654B5B"/>
    <w:rsid w:val="00656047"/>
    <w:rsid w:val="00660F11"/>
    <w:rsid w:val="00661CB5"/>
    <w:rsid w:val="00664779"/>
    <w:rsid w:val="00666524"/>
    <w:rsid w:val="00667AA4"/>
    <w:rsid w:val="00667CA4"/>
    <w:rsid w:val="00671EB8"/>
    <w:rsid w:val="006720FD"/>
    <w:rsid w:val="0067306C"/>
    <w:rsid w:val="006739CA"/>
    <w:rsid w:val="00674110"/>
    <w:rsid w:val="00675E48"/>
    <w:rsid w:val="00676F66"/>
    <w:rsid w:val="00677ECC"/>
    <w:rsid w:val="00683A52"/>
    <w:rsid w:val="00684215"/>
    <w:rsid w:val="0068589F"/>
    <w:rsid w:val="00694B59"/>
    <w:rsid w:val="006975A9"/>
    <w:rsid w:val="006A2665"/>
    <w:rsid w:val="006A3394"/>
    <w:rsid w:val="006A42DF"/>
    <w:rsid w:val="006A508D"/>
    <w:rsid w:val="006A56DB"/>
    <w:rsid w:val="006A57F0"/>
    <w:rsid w:val="006A6461"/>
    <w:rsid w:val="006B0E95"/>
    <w:rsid w:val="006B2ED0"/>
    <w:rsid w:val="006B37A3"/>
    <w:rsid w:val="006B5797"/>
    <w:rsid w:val="006B6322"/>
    <w:rsid w:val="006B7068"/>
    <w:rsid w:val="006B70DB"/>
    <w:rsid w:val="006C0211"/>
    <w:rsid w:val="006C0905"/>
    <w:rsid w:val="006C1922"/>
    <w:rsid w:val="006C38CE"/>
    <w:rsid w:val="006C4620"/>
    <w:rsid w:val="006C4B70"/>
    <w:rsid w:val="006C4E45"/>
    <w:rsid w:val="006C743F"/>
    <w:rsid w:val="006C7870"/>
    <w:rsid w:val="006C7B1B"/>
    <w:rsid w:val="006D3705"/>
    <w:rsid w:val="006D3798"/>
    <w:rsid w:val="006D4821"/>
    <w:rsid w:val="006D4968"/>
    <w:rsid w:val="006D54CC"/>
    <w:rsid w:val="006E1ACD"/>
    <w:rsid w:val="006E2D7D"/>
    <w:rsid w:val="006E3F10"/>
    <w:rsid w:val="006E48C5"/>
    <w:rsid w:val="006E4A17"/>
    <w:rsid w:val="006F3212"/>
    <w:rsid w:val="006F3781"/>
    <w:rsid w:val="006F4A89"/>
    <w:rsid w:val="006F532D"/>
    <w:rsid w:val="006F6E5A"/>
    <w:rsid w:val="00704613"/>
    <w:rsid w:val="00704DBE"/>
    <w:rsid w:val="00705CAF"/>
    <w:rsid w:val="007079AD"/>
    <w:rsid w:val="00712180"/>
    <w:rsid w:val="00715F49"/>
    <w:rsid w:val="00716F6F"/>
    <w:rsid w:val="007202AD"/>
    <w:rsid w:val="0072342B"/>
    <w:rsid w:val="007260F1"/>
    <w:rsid w:val="00726174"/>
    <w:rsid w:val="007279AC"/>
    <w:rsid w:val="00731E24"/>
    <w:rsid w:val="00733B15"/>
    <w:rsid w:val="00733B94"/>
    <w:rsid w:val="00734E19"/>
    <w:rsid w:val="007370F5"/>
    <w:rsid w:val="00740587"/>
    <w:rsid w:val="00742145"/>
    <w:rsid w:val="0074335C"/>
    <w:rsid w:val="007457A8"/>
    <w:rsid w:val="00745E31"/>
    <w:rsid w:val="00745ED5"/>
    <w:rsid w:val="007468E6"/>
    <w:rsid w:val="00747EC6"/>
    <w:rsid w:val="00750181"/>
    <w:rsid w:val="00752B40"/>
    <w:rsid w:val="00752FE4"/>
    <w:rsid w:val="00753682"/>
    <w:rsid w:val="0075776C"/>
    <w:rsid w:val="007610A0"/>
    <w:rsid w:val="00761F2E"/>
    <w:rsid w:val="0076215A"/>
    <w:rsid w:val="007639D0"/>
    <w:rsid w:val="00763E5F"/>
    <w:rsid w:val="0076495F"/>
    <w:rsid w:val="0076591C"/>
    <w:rsid w:val="00765F34"/>
    <w:rsid w:val="007667E3"/>
    <w:rsid w:val="0076699F"/>
    <w:rsid w:val="0077025E"/>
    <w:rsid w:val="0077044D"/>
    <w:rsid w:val="00772840"/>
    <w:rsid w:val="00774EB0"/>
    <w:rsid w:val="00776D00"/>
    <w:rsid w:val="00780355"/>
    <w:rsid w:val="0078106A"/>
    <w:rsid w:val="00782398"/>
    <w:rsid w:val="007823DA"/>
    <w:rsid w:val="00783869"/>
    <w:rsid w:val="00785078"/>
    <w:rsid w:val="00787DF4"/>
    <w:rsid w:val="00791B3F"/>
    <w:rsid w:val="00791DCE"/>
    <w:rsid w:val="00792FD9"/>
    <w:rsid w:val="0079648A"/>
    <w:rsid w:val="0079717E"/>
    <w:rsid w:val="007A11DC"/>
    <w:rsid w:val="007A1230"/>
    <w:rsid w:val="007A161A"/>
    <w:rsid w:val="007A3482"/>
    <w:rsid w:val="007A4AD2"/>
    <w:rsid w:val="007A6144"/>
    <w:rsid w:val="007A6782"/>
    <w:rsid w:val="007A6FAE"/>
    <w:rsid w:val="007A724F"/>
    <w:rsid w:val="007A7667"/>
    <w:rsid w:val="007B0832"/>
    <w:rsid w:val="007B386A"/>
    <w:rsid w:val="007B475D"/>
    <w:rsid w:val="007B5426"/>
    <w:rsid w:val="007B5734"/>
    <w:rsid w:val="007B5FEB"/>
    <w:rsid w:val="007C01E6"/>
    <w:rsid w:val="007C026D"/>
    <w:rsid w:val="007C0328"/>
    <w:rsid w:val="007C0837"/>
    <w:rsid w:val="007C147C"/>
    <w:rsid w:val="007C424E"/>
    <w:rsid w:val="007C7180"/>
    <w:rsid w:val="007D051C"/>
    <w:rsid w:val="007E4FAE"/>
    <w:rsid w:val="007E5065"/>
    <w:rsid w:val="007E6024"/>
    <w:rsid w:val="007E6E06"/>
    <w:rsid w:val="007F3BCB"/>
    <w:rsid w:val="007F74D7"/>
    <w:rsid w:val="008008E4"/>
    <w:rsid w:val="0080168B"/>
    <w:rsid w:val="008033DB"/>
    <w:rsid w:val="00807177"/>
    <w:rsid w:val="0081033C"/>
    <w:rsid w:val="008124C5"/>
    <w:rsid w:val="008136E3"/>
    <w:rsid w:val="00815322"/>
    <w:rsid w:val="00821130"/>
    <w:rsid w:val="0082752D"/>
    <w:rsid w:val="0082789D"/>
    <w:rsid w:val="00830DE2"/>
    <w:rsid w:val="0083159E"/>
    <w:rsid w:val="008315D8"/>
    <w:rsid w:val="00832152"/>
    <w:rsid w:val="00834243"/>
    <w:rsid w:val="00836780"/>
    <w:rsid w:val="008378EC"/>
    <w:rsid w:val="00840209"/>
    <w:rsid w:val="00840CDE"/>
    <w:rsid w:val="008418EF"/>
    <w:rsid w:val="00841A33"/>
    <w:rsid w:val="00843FBE"/>
    <w:rsid w:val="008448F7"/>
    <w:rsid w:val="008466D9"/>
    <w:rsid w:val="00846836"/>
    <w:rsid w:val="00847F38"/>
    <w:rsid w:val="008523F9"/>
    <w:rsid w:val="00852A1B"/>
    <w:rsid w:val="00860EDE"/>
    <w:rsid w:val="00861068"/>
    <w:rsid w:val="00862FCF"/>
    <w:rsid w:val="00865F90"/>
    <w:rsid w:val="00866CA1"/>
    <w:rsid w:val="008676EC"/>
    <w:rsid w:val="00867C8A"/>
    <w:rsid w:val="008721C7"/>
    <w:rsid w:val="00872393"/>
    <w:rsid w:val="00873717"/>
    <w:rsid w:val="00873B63"/>
    <w:rsid w:val="00874532"/>
    <w:rsid w:val="00875428"/>
    <w:rsid w:val="008760A6"/>
    <w:rsid w:val="00876785"/>
    <w:rsid w:val="008779DF"/>
    <w:rsid w:val="00877F5C"/>
    <w:rsid w:val="008810B4"/>
    <w:rsid w:val="008811E7"/>
    <w:rsid w:val="00881C27"/>
    <w:rsid w:val="00882BB2"/>
    <w:rsid w:val="00883831"/>
    <w:rsid w:val="00885336"/>
    <w:rsid w:val="00885B94"/>
    <w:rsid w:val="008863E7"/>
    <w:rsid w:val="00893F39"/>
    <w:rsid w:val="00895271"/>
    <w:rsid w:val="008957D3"/>
    <w:rsid w:val="00895DF1"/>
    <w:rsid w:val="00896E75"/>
    <w:rsid w:val="008970B6"/>
    <w:rsid w:val="008970DA"/>
    <w:rsid w:val="00897BE4"/>
    <w:rsid w:val="008A066B"/>
    <w:rsid w:val="008A0701"/>
    <w:rsid w:val="008A149E"/>
    <w:rsid w:val="008A2709"/>
    <w:rsid w:val="008A49A8"/>
    <w:rsid w:val="008A4BE3"/>
    <w:rsid w:val="008A4E8E"/>
    <w:rsid w:val="008A5CD0"/>
    <w:rsid w:val="008A69D2"/>
    <w:rsid w:val="008B0491"/>
    <w:rsid w:val="008B07A1"/>
    <w:rsid w:val="008B2DA3"/>
    <w:rsid w:val="008B34FE"/>
    <w:rsid w:val="008B3573"/>
    <w:rsid w:val="008B47B1"/>
    <w:rsid w:val="008B70EF"/>
    <w:rsid w:val="008C0012"/>
    <w:rsid w:val="008C0A45"/>
    <w:rsid w:val="008C0DC0"/>
    <w:rsid w:val="008C1B87"/>
    <w:rsid w:val="008C1F50"/>
    <w:rsid w:val="008C2C90"/>
    <w:rsid w:val="008C58B7"/>
    <w:rsid w:val="008D4FBA"/>
    <w:rsid w:val="008D52C6"/>
    <w:rsid w:val="008D56A8"/>
    <w:rsid w:val="008D7598"/>
    <w:rsid w:val="008D78D5"/>
    <w:rsid w:val="008E10C8"/>
    <w:rsid w:val="008E1DDB"/>
    <w:rsid w:val="008E288E"/>
    <w:rsid w:val="008F0004"/>
    <w:rsid w:val="008F25FC"/>
    <w:rsid w:val="008F2F4F"/>
    <w:rsid w:val="008F3897"/>
    <w:rsid w:val="008F3F62"/>
    <w:rsid w:val="008F497D"/>
    <w:rsid w:val="008F706D"/>
    <w:rsid w:val="008F7241"/>
    <w:rsid w:val="008F7807"/>
    <w:rsid w:val="00900D3A"/>
    <w:rsid w:val="009011C8"/>
    <w:rsid w:val="009024A3"/>
    <w:rsid w:val="00903508"/>
    <w:rsid w:val="009046A9"/>
    <w:rsid w:val="009050E6"/>
    <w:rsid w:val="00905914"/>
    <w:rsid w:val="00906037"/>
    <w:rsid w:val="009066B3"/>
    <w:rsid w:val="00910AC1"/>
    <w:rsid w:val="0091130A"/>
    <w:rsid w:val="00915EB9"/>
    <w:rsid w:val="00916A6A"/>
    <w:rsid w:val="00917CEE"/>
    <w:rsid w:val="00921258"/>
    <w:rsid w:val="00923797"/>
    <w:rsid w:val="00924633"/>
    <w:rsid w:val="00925C2F"/>
    <w:rsid w:val="00926A26"/>
    <w:rsid w:val="00930AFF"/>
    <w:rsid w:val="00930F9A"/>
    <w:rsid w:val="00931956"/>
    <w:rsid w:val="00933882"/>
    <w:rsid w:val="0093491E"/>
    <w:rsid w:val="00935726"/>
    <w:rsid w:val="00936AC1"/>
    <w:rsid w:val="00936E0B"/>
    <w:rsid w:val="0094339A"/>
    <w:rsid w:val="00943FDC"/>
    <w:rsid w:val="0094400C"/>
    <w:rsid w:val="00944751"/>
    <w:rsid w:val="00945E06"/>
    <w:rsid w:val="009511CF"/>
    <w:rsid w:val="00951264"/>
    <w:rsid w:val="00951B28"/>
    <w:rsid w:val="00954579"/>
    <w:rsid w:val="009557F8"/>
    <w:rsid w:val="00955CEA"/>
    <w:rsid w:val="00955D5B"/>
    <w:rsid w:val="00956E03"/>
    <w:rsid w:val="00957679"/>
    <w:rsid w:val="009604DA"/>
    <w:rsid w:val="009622F0"/>
    <w:rsid w:val="0096657A"/>
    <w:rsid w:val="00967874"/>
    <w:rsid w:val="00970CC4"/>
    <w:rsid w:val="00972948"/>
    <w:rsid w:val="00972E79"/>
    <w:rsid w:val="0097770C"/>
    <w:rsid w:val="009806A8"/>
    <w:rsid w:val="00983FCA"/>
    <w:rsid w:val="00990AF7"/>
    <w:rsid w:val="00991CB5"/>
    <w:rsid w:val="00993AD9"/>
    <w:rsid w:val="0099630E"/>
    <w:rsid w:val="009A25AF"/>
    <w:rsid w:val="009A63C5"/>
    <w:rsid w:val="009A7DB2"/>
    <w:rsid w:val="009B12ED"/>
    <w:rsid w:val="009B18EA"/>
    <w:rsid w:val="009B41A8"/>
    <w:rsid w:val="009B5347"/>
    <w:rsid w:val="009B5DF5"/>
    <w:rsid w:val="009C296A"/>
    <w:rsid w:val="009C4A43"/>
    <w:rsid w:val="009C4FA7"/>
    <w:rsid w:val="009C7639"/>
    <w:rsid w:val="009D043A"/>
    <w:rsid w:val="009D1416"/>
    <w:rsid w:val="009D14CD"/>
    <w:rsid w:val="009D373D"/>
    <w:rsid w:val="009D45B4"/>
    <w:rsid w:val="009D4A56"/>
    <w:rsid w:val="009E155A"/>
    <w:rsid w:val="009E4207"/>
    <w:rsid w:val="009E7C27"/>
    <w:rsid w:val="009F0A24"/>
    <w:rsid w:val="009F48DB"/>
    <w:rsid w:val="00A00E44"/>
    <w:rsid w:val="00A01204"/>
    <w:rsid w:val="00A023AD"/>
    <w:rsid w:val="00A03785"/>
    <w:rsid w:val="00A049CA"/>
    <w:rsid w:val="00A04B10"/>
    <w:rsid w:val="00A05E14"/>
    <w:rsid w:val="00A113B2"/>
    <w:rsid w:val="00A11448"/>
    <w:rsid w:val="00A12B50"/>
    <w:rsid w:val="00A14F93"/>
    <w:rsid w:val="00A15AAC"/>
    <w:rsid w:val="00A17425"/>
    <w:rsid w:val="00A17665"/>
    <w:rsid w:val="00A2033A"/>
    <w:rsid w:val="00A20D97"/>
    <w:rsid w:val="00A20FE6"/>
    <w:rsid w:val="00A21C1A"/>
    <w:rsid w:val="00A236F3"/>
    <w:rsid w:val="00A25FC7"/>
    <w:rsid w:val="00A26230"/>
    <w:rsid w:val="00A26CE2"/>
    <w:rsid w:val="00A27A0E"/>
    <w:rsid w:val="00A3061A"/>
    <w:rsid w:val="00A3352C"/>
    <w:rsid w:val="00A33E36"/>
    <w:rsid w:val="00A34FF4"/>
    <w:rsid w:val="00A36332"/>
    <w:rsid w:val="00A36957"/>
    <w:rsid w:val="00A37642"/>
    <w:rsid w:val="00A379AA"/>
    <w:rsid w:val="00A41112"/>
    <w:rsid w:val="00A411C2"/>
    <w:rsid w:val="00A425F3"/>
    <w:rsid w:val="00A43F8C"/>
    <w:rsid w:val="00A54855"/>
    <w:rsid w:val="00A562C9"/>
    <w:rsid w:val="00A5694B"/>
    <w:rsid w:val="00A5782C"/>
    <w:rsid w:val="00A60551"/>
    <w:rsid w:val="00A60CD5"/>
    <w:rsid w:val="00A61256"/>
    <w:rsid w:val="00A626DD"/>
    <w:rsid w:val="00A63C6E"/>
    <w:rsid w:val="00A63CE0"/>
    <w:rsid w:val="00A6563D"/>
    <w:rsid w:val="00A6571D"/>
    <w:rsid w:val="00A665F6"/>
    <w:rsid w:val="00A67431"/>
    <w:rsid w:val="00A67619"/>
    <w:rsid w:val="00A71287"/>
    <w:rsid w:val="00A71D4A"/>
    <w:rsid w:val="00A725AF"/>
    <w:rsid w:val="00A732B9"/>
    <w:rsid w:val="00A73942"/>
    <w:rsid w:val="00A7412A"/>
    <w:rsid w:val="00A75039"/>
    <w:rsid w:val="00A750F8"/>
    <w:rsid w:val="00A75BD5"/>
    <w:rsid w:val="00A75DC1"/>
    <w:rsid w:val="00A76EBD"/>
    <w:rsid w:val="00A77496"/>
    <w:rsid w:val="00A80173"/>
    <w:rsid w:val="00A80A04"/>
    <w:rsid w:val="00A80B68"/>
    <w:rsid w:val="00A8405F"/>
    <w:rsid w:val="00A85545"/>
    <w:rsid w:val="00A856A7"/>
    <w:rsid w:val="00A87222"/>
    <w:rsid w:val="00A87B83"/>
    <w:rsid w:val="00A95BBB"/>
    <w:rsid w:val="00A960E1"/>
    <w:rsid w:val="00A9638E"/>
    <w:rsid w:val="00A96EDC"/>
    <w:rsid w:val="00A97661"/>
    <w:rsid w:val="00AA0E83"/>
    <w:rsid w:val="00AA2003"/>
    <w:rsid w:val="00AA3B41"/>
    <w:rsid w:val="00AA4E8F"/>
    <w:rsid w:val="00AB012D"/>
    <w:rsid w:val="00AB1509"/>
    <w:rsid w:val="00AB1E06"/>
    <w:rsid w:val="00AB28E6"/>
    <w:rsid w:val="00AB3E23"/>
    <w:rsid w:val="00AB3EFE"/>
    <w:rsid w:val="00AB43F9"/>
    <w:rsid w:val="00AB7219"/>
    <w:rsid w:val="00AB746B"/>
    <w:rsid w:val="00AB79DF"/>
    <w:rsid w:val="00AB7F07"/>
    <w:rsid w:val="00AC0046"/>
    <w:rsid w:val="00AC17BD"/>
    <w:rsid w:val="00AC454B"/>
    <w:rsid w:val="00AC5A3B"/>
    <w:rsid w:val="00AC6F27"/>
    <w:rsid w:val="00AD4C2C"/>
    <w:rsid w:val="00AD5E7C"/>
    <w:rsid w:val="00AE0848"/>
    <w:rsid w:val="00AE087A"/>
    <w:rsid w:val="00AE14D0"/>
    <w:rsid w:val="00AE3BE3"/>
    <w:rsid w:val="00AE4233"/>
    <w:rsid w:val="00AE5306"/>
    <w:rsid w:val="00AE5F05"/>
    <w:rsid w:val="00AE7477"/>
    <w:rsid w:val="00AE7C67"/>
    <w:rsid w:val="00AF2454"/>
    <w:rsid w:val="00AF72D9"/>
    <w:rsid w:val="00B00528"/>
    <w:rsid w:val="00B01221"/>
    <w:rsid w:val="00B01FDE"/>
    <w:rsid w:val="00B02977"/>
    <w:rsid w:val="00B04988"/>
    <w:rsid w:val="00B06732"/>
    <w:rsid w:val="00B0734E"/>
    <w:rsid w:val="00B10A80"/>
    <w:rsid w:val="00B11820"/>
    <w:rsid w:val="00B118CE"/>
    <w:rsid w:val="00B1338A"/>
    <w:rsid w:val="00B13D42"/>
    <w:rsid w:val="00B15177"/>
    <w:rsid w:val="00B15A63"/>
    <w:rsid w:val="00B164D8"/>
    <w:rsid w:val="00B16566"/>
    <w:rsid w:val="00B1667C"/>
    <w:rsid w:val="00B2190E"/>
    <w:rsid w:val="00B21ECA"/>
    <w:rsid w:val="00B21F43"/>
    <w:rsid w:val="00B24CB3"/>
    <w:rsid w:val="00B279B2"/>
    <w:rsid w:val="00B31D39"/>
    <w:rsid w:val="00B33422"/>
    <w:rsid w:val="00B34E5E"/>
    <w:rsid w:val="00B355CD"/>
    <w:rsid w:val="00B358CF"/>
    <w:rsid w:val="00B35B38"/>
    <w:rsid w:val="00B36129"/>
    <w:rsid w:val="00B36C12"/>
    <w:rsid w:val="00B413F5"/>
    <w:rsid w:val="00B42314"/>
    <w:rsid w:val="00B42582"/>
    <w:rsid w:val="00B43BD5"/>
    <w:rsid w:val="00B446A8"/>
    <w:rsid w:val="00B47463"/>
    <w:rsid w:val="00B521C3"/>
    <w:rsid w:val="00B5396F"/>
    <w:rsid w:val="00B54088"/>
    <w:rsid w:val="00B55383"/>
    <w:rsid w:val="00B615A3"/>
    <w:rsid w:val="00B63B24"/>
    <w:rsid w:val="00B64294"/>
    <w:rsid w:val="00B64535"/>
    <w:rsid w:val="00B654A4"/>
    <w:rsid w:val="00B65501"/>
    <w:rsid w:val="00B656EB"/>
    <w:rsid w:val="00B66A5F"/>
    <w:rsid w:val="00B72124"/>
    <w:rsid w:val="00B737D8"/>
    <w:rsid w:val="00B7385B"/>
    <w:rsid w:val="00B7450B"/>
    <w:rsid w:val="00B75ADC"/>
    <w:rsid w:val="00B764F9"/>
    <w:rsid w:val="00B774C8"/>
    <w:rsid w:val="00B822D5"/>
    <w:rsid w:val="00B83D20"/>
    <w:rsid w:val="00B85DE1"/>
    <w:rsid w:val="00B865B5"/>
    <w:rsid w:val="00B868F5"/>
    <w:rsid w:val="00B92293"/>
    <w:rsid w:val="00B938B5"/>
    <w:rsid w:val="00B93B6F"/>
    <w:rsid w:val="00B94ACF"/>
    <w:rsid w:val="00B95E69"/>
    <w:rsid w:val="00B97601"/>
    <w:rsid w:val="00B977D0"/>
    <w:rsid w:val="00B97AA6"/>
    <w:rsid w:val="00BA125A"/>
    <w:rsid w:val="00BA2AE0"/>
    <w:rsid w:val="00BA40F9"/>
    <w:rsid w:val="00BA43D0"/>
    <w:rsid w:val="00BA6F2D"/>
    <w:rsid w:val="00BA74C7"/>
    <w:rsid w:val="00BB0024"/>
    <w:rsid w:val="00BB0D9F"/>
    <w:rsid w:val="00BB16C1"/>
    <w:rsid w:val="00BB3A44"/>
    <w:rsid w:val="00BB75CE"/>
    <w:rsid w:val="00BB770F"/>
    <w:rsid w:val="00BC32CC"/>
    <w:rsid w:val="00BC52DD"/>
    <w:rsid w:val="00BC64FA"/>
    <w:rsid w:val="00BD0693"/>
    <w:rsid w:val="00BD0BED"/>
    <w:rsid w:val="00BD3050"/>
    <w:rsid w:val="00BD3C05"/>
    <w:rsid w:val="00BE07D0"/>
    <w:rsid w:val="00BE0BDE"/>
    <w:rsid w:val="00BE32D6"/>
    <w:rsid w:val="00BE3A42"/>
    <w:rsid w:val="00BE58B2"/>
    <w:rsid w:val="00BE5D52"/>
    <w:rsid w:val="00BE5EE9"/>
    <w:rsid w:val="00BE7796"/>
    <w:rsid w:val="00BF0616"/>
    <w:rsid w:val="00BF1754"/>
    <w:rsid w:val="00BF1BB9"/>
    <w:rsid w:val="00BF23F0"/>
    <w:rsid w:val="00BF4210"/>
    <w:rsid w:val="00C035DB"/>
    <w:rsid w:val="00C044F0"/>
    <w:rsid w:val="00C04A3E"/>
    <w:rsid w:val="00C0611F"/>
    <w:rsid w:val="00C07164"/>
    <w:rsid w:val="00C071EA"/>
    <w:rsid w:val="00C14062"/>
    <w:rsid w:val="00C14225"/>
    <w:rsid w:val="00C14C97"/>
    <w:rsid w:val="00C1591C"/>
    <w:rsid w:val="00C175CF"/>
    <w:rsid w:val="00C17955"/>
    <w:rsid w:val="00C20B3B"/>
    <w:rsid w:val="00C22ED7"/>
    <w:rsid w:val="00C25E26"/>
    <w:rsid w:val="00C263D9"/>
    <w:rsid w:val="00C269B8"/>
    <w:rsid w:val="00C33C98"/>
    <w:rsid w:val="00C33F0B"/>
    <w:rsid w:val="00C360DA"/>
    <w:rsid w:val="00C3799C"/>
    <w:rsid w:val="00C42197"/>
    <w:rsid w:val="00C44E1E"/>
    <w:rsid w:val="00C45D2E"/>
    <w:rsid w:val="00C46183"/>
    <w:rsid w:val="00C463DD"/>
    <w:rsid w:val="00C4697A"/>
    <w:rsid w:val="00C471A3"/>
    <w:rsid w:val="00C4771D"/>
    <w:rsid w:val="00C47A65"/>
    <w:rsid w:val="00C54797"/>
    <w:rsid w:val="00C55B14"/>
    <w:rsid w:val="00C56494"/>
    <w:rsid w:val="00C56BE2"/>
    <w:rsid w:val="00C5733F"/>
    <w:rsid w:val="00C61006"/>
    <w:rsid w:val="00C61D26"/>
    <w:rsid w:val="00C62176"/>
    <w:rsid w:val="00C6337F"/>
    <w:rsid w:val="00C6429C"/>
    <w:rsid w:val="00C65A6F"/>
    <w:rsid w:val="00C65C41"/>
    <w:rsid w:val="00C6675A"/>
    <w:rsid w:val="00C7039C"/>
    <w:rsid w:val="00C73476"/>
    <w:rsid w:val="00C739F9"/>
    <w:rsid w:val="00C7469E"/>
    <w:rsid w:val="00C74BA4"/>
    <w:rsid w:val="00C7529D"/>
    <w:rsid w:val="00C76143"/>
    <w:rsid w:val="00C76A50"/>
    <w:rsid w:val="00C777D0"/>
    <w:rsid w:val="00C81868"/>
    <w:rsid w:val="00C83EC1"/>
    <w:rsid w:val="00C852FD"/>
    <w:rsid w:val="00C85C2D"/>
    <w:rsid w:val="00C86106"/>
    <w:rsid w:val="00C87495"/>
    <w:rsid w:val="00C90E39"/>
    <w:rsid w:val="00C91E86"/>
    <w:rsid w:val="00C9486D"/>
    <w:rsid w:val="00CA1B15"/>
    <w:rsid w:val="00CA23CC"/>
    <w:rsid w:val="00CA5BC1"/>
    <w:rsid w:val="00CA61DE"/>
    <w:rsid w:val="00CA6F39"/>
    <w:rsid w:val="00CB0028"/>
    <w:rsid w:val="00CB0966"/>
    <w:rsid w:val="00CB24A8"/>
    <w:rsid w:val="00CB3407"/>
    <w:rsid w:val="00CB341A"/>
    <w:rsid w:val="00CB3BE4"/>
    <w:rsid w:val="00CB64A0"/>
    <w:rsid w:val="00CC25E6"/>
    <w:rsid w:val="00CC2747"/>
    <w:rsid w:val="00CC3BCD"/>
    <w:rsid w:val="00CC3EAA"/>
    <w:rsid w:val="00CC57AB"/>
    <w:rsid w:val="00CC67ED"/>
    <w:rsid w:val="00CD0A50"/>
    <w:rsid w:val="00CD1A5C"/>
    <w:rsid w:val="00CD1DBB"/>
    <w:rsid w:val="00CD2E15"/>
    <w:rsid w:val="00CD2FD9"/>
    <w:rsid w:val="00CD65A2"/>
    <w:rsid w:val="00CE12FC"/>
    <w:rsid w:val="00CF2919"/>
    <w:rsid w:val="00D001A0"/>
    <w:rsid w:val="00D01898"/>
    <w:rsid w:val="00D02164"/>
    <w:rsid w:val="00D021E6"/>
    <w:rsid w:val="00D02B2B"/>
    <w:rsid w:val="00D0530D"/>
    <w:rsid w:val="00D068F6"/>
    <w:rsid w:val="00D12297"/>
    <w:rsid w:val="00D13502"/>
    <w:rsid w:val="00D13CA7"/>
    <w:rsid w:val="00D152C8"/>
    <w:rsid w:val="00D152E5"/>
    <w:rsid w:val="00D15995"/>
    <w:rsid w:val="00D15C8F"/>
    <w:rsid w:val="00D17373"/>
    <w:rsid w:val="00D17778"/>
    <w:rsid w:val="00D21781"/>
    <w:rsid w:val="00D22690"/>
    <w:rsid w:val="00D22928"/>
    <w:rsid w:val="00D232B1"/>
    <w:rsid w:val="00D243E1"/>
    <w:rsid w:val="00D2526B"/>
    <w:rsid w:val="00D25BC2"/>
    <w:rsid w:val="00D307F2"/>
    <w:rsid w:val="00D30E43"/>
    <w:rsid w:val="00D3131D"/>
    <w:rsid w:val="00D32066"/>
    <w:rsid w:val="00D341CF"/>
    <w:rsid w:val="00D34AA1"/>
    <w:rsid w:val="00D35063"/>
    <w:rsid w:val="00D37544"/>
    <w:rsid w:val="00D37C4A"/>
    <w:rsid w:val="00D407FE"/>
    <w:rsid w:val="00D4158C"/>
    <w:rsid w:val="00D41E31"/>
    <w:rsid w:val="00D42AAC"/>
    <w:rsid w:val="00D42B26"/>
    <w:rsid w:val="00D44EFA"/>
    <w:rsid w:val="00D45886"/>
    <w:rsid w:val="00D46B04"/>
    <w:rsid w:val="00D46F0B"/>
    <w:rsid w:val="00D47A8B"/>
    <w:rsid w:val="00D47C73"/>
    <w:rsid w:val="00D51B32"/>
    <w:rsid w:val="00D5270A"/>
    <w:rsid w:val="00D52D6A"/>
    <w:rsid w:val="00D550A7"/>
    <w:rsid w:val="00D60DE7"/>
    <w:rsid w:val="00D60E82"/>
    <w:rsid w:val="00D61D2B"/>
    <w:rsid w:val="00D64A15"/>
    <w:rsid w:val="00D6553B"/>
    <w:rsid w:val="00D665B1"/>
    <w:rsid w:val="00D673BC"/>
    <w:rsid w:val="00D67998"/>
    <w:rsid w:val="00D7122D"/>
    <w:rsid w:val="00D717B5"/>
    <w:rsid w:val="00D71C25"/>
    <w:rsid w:val="00D73277"/>
    <w:rsid w:val="00D73401"/>
    <w:rsid w:val="00D739C5"/>
    <w:rsid w:val="00D74461"/>
    <w:rsid w:val="00D75AFC"/>
    <w:rsid w:val="00D76102"/>
    <w:rsid w:val="00D76EBD"/>
    <w:rsid w:val="00D76F9F"/>
    <w:rsid w:val="00D812D1"/>
    <w:rsid w:val="00D81E30"/>
    <w:rsid w:val="00D81E88"/>
    <w:rsid w:val="00D82644"/>
    <w:rsid w:val="00D83023"/>
    <w:rsid w:val="00D8332A"/>
    <w:rsid w:val="00D85890"/>
    <w:rsid w:val="00D86C74"/>
    <w:rsid w:val="00D86EFF"/>
    <w:rsid w:val="00D9013C"/>
    <w:rsid w:val="00D91BBC"/>
    <w:rsid w:val="00D92394"/>
    <w:rsid w:val="00D93996"/>
    <w:rsid w:val="00D94461"/>
    <w:rsid w:val="00D94DD0"/>
    <w:rsid w:val="00DA0224"/>
    <w:rsid w:val="00DA05A0"/>
    <w:rsid w:val="00DA4246"/>
    <w:rsid w:val="00DA5C99"/>
    <w:rsid w:val="00DA61E1"/>
    <w:rsid w:val="00DA6A85"/>
    <w:rsid w:val="00DA6E2F"/>
    <w:rsid w:val="00DA7A9A"/>
    <w:rsid w:val="00DB0117"/>
    <w:rsid w:val="00DB0712"/>
    <w:rsid w:val="00DB0F02"/>
    <w:rsid w:val="00DB5F4C"/>
    <w:rsid w:val="00DC04C7"/>
    <w:rsid w:val="00DC0861"/>
    <w:rsid w:val="00DC1A89"/>
    <w:rsid w:val="00DC1AE4"/>
    <w:rsid w:val="00DC2BF1"/>
    <w:rsid w:val="00DC3E88"/>
    <w:rsid w:val="00DC4C8E"/>
    <w:rsid w:val="00DC4FB8"/>
    <w:rsid w:val="00DC7766"/>
    <w:rsid w:val="00DD0645"/>
    <w:rsid w:val="00DD198A"/>
    <w:rsid w:val="00DD2B3F"/>
    <w:rsid w:val="00DD6DD0"/>
    <w:rsid w:val="00DE4340"/>
    <w:rsid w:val="00DE535C"/>
    <w:rsid w:val="00DF0FE9"/>
    <w:rsid w:val="00DF1C42"/>
    <w:rsid w:val="00DF3427"/>
    <w:rsid w:val="00DF4461"/>
    <w:rsid w:val="00DF7CDD"/>
    <w:rsid w:val="00E01776"/>
    <w:rsid w:val="00E02174"/>
    <w:rsid w:val="00E021A7"/>
    <w:rsid w:val="00E034C9"/>
    <w:rsid w:val="00E04859"/>
    <w:rsid w:val="00E05AF0"/>
    <w:rsid w:val="00E05FE4"/>
    <w:rsid w:val="00E067D2"/>
    <w:rsid w:val="00E07C4A"/>
    <w:rsid w:val="00E10AC5"/>
    <w:rsid w:val="00E147E8"/>
    <w:rsid w:val="00E15331"/>
    <w:rsid w:val="00E16044"/>
    <w:rsid w:val="00E16958"/>
    <w:rsid w:val="00E20997"/>
    <w:rsid w:val="00E259E3"/>
    <w:rsid w:val="00E27172"/>
    <w:rsid w:val="00E3209E"/>
    <w:rsid w:val="00E33208"/>
    <w:rsid w:val="00E3575D"/>
    <w:rsid w:val="00E35B8F"/>
    <w:rsid w:val="00E36787"/>
    <w:rsid w:val="00E419AE"/>
    <w:rsid w:val="00E41F90"/>
    <w:rsid w:val="00E425FB"/>
    <w:rsid w:val="00E45827"/>
    <w:rsid w:val="00E47578"/>
    <w:rsid w:val="00E505AD"/>
    <w:rsid w:val="00E5302C"/>
    <w:rsid w:val="00E539AD"/>
    <w:rsid w:val="00E53B81"/>
    <w:rsid w:val="00E56D4C"/>
    <w:rsid w:val="00E615AA"/>
    <w:rsid w:val="00E62BB8"/>
    <w:rsid w:val="00E63061"/>
    <w:rsid w:val="00E64CC1"/>
    <w:rsid w:val="00E70518"/>
    <w:rsid w:val="00E7566A"/>
    <w:rsid w:val="00E76322"/>
    <w:rsid w:val="00E77860"/>
    <w:rsid w:val="00E806FB"/>
    <w:rsid w:val="00E836FE"/>
    <w:rsid w:val="00E8472A"/>
    <w:rsid w:val="00E8498C"/>
    <w:rsid w:val="00E906D2"/>
    <w:rsid w:val="00E91602"/>
    <w:rsid w:val="00E924F4"/>
    <w:rsid w:val="00E92679"/>
    <w:rsid w:val="00E927DA"/>
    <w:rsid w:val="00E927DD"/>
    <w:rsid w:val="00E928B3"/>
    <w:rsid w:val="00E92B9B"/>
    <w:rsid w:val="00E92E7E"/>
    <w:rsid w:val="00E975A0"/>
    <w:rsid w:val="00E97756"/>
    <w:rsid w:val="00EA06F6"/>
    <w:rsid w:val="00EA082C"/>
    <w:rsid w:val="00EA095D"/>
    <w:rsid w:val="00EA1BE3"/>
    <w:rsid w:val="00EA4475"/>
    <w:rsid w:val="00EA4AF1"/>
    <w:rsid w:val="00EA639B"/>
    <w:rsid w:val="00EA715E"/>
    <w:rsid w:val="00EB079F"/>
    <w:rsid w:val="00EB1980"/>
    <w:rsid w:val="00EB30C6"/>
    <w:rsid w:val="00EB394A"/>
    <w:rsid w:val="00EB692F"/>
    <w:rsid w:val="00EB765D"/>
    <w:rsid w:val="00EB7B6B"/>
    <w:rsid w:val="00EB7E18"/>
    <w:rsid w:val="00EC1664"/>
    <w:rsid w:val="00EC3E58"/>
    <w:rsid w:val="00EC46AB"/>
    <w:rsid w:val="00ED115B"/>
    <w:rsid w:val="00ED1D1C"/>
    <w:rsid w:val="00ED3E43"/>
    <w:rsid w:val="00ED53B2"/>
    <w:rsid w:val="00ED5CAB"/>
    <w:rsid w:val="00ED5DBF"/>
    <w:rsid w:val="00EE39F8"/>
    <w:rsid w:val="00EE6734"/>
    <w:rsid w:val="00EE75D8"/>
    <w:rsid w:val="00EE7F12"/>
    <w:rsid w:val="00EF2305"/>
    <w:rsid w:val="00EF2ABC"/>
    <w:rsid w:val="00EF4648"/>
    <w:rsid w:val="00EF6B41"/>
    <w:rsid w:val="00EF75C3"/>
    <w:rsid w:val="00F00399"/>
    <w:rsid w:val="00F00633"/>
    <w:rsid w:val="00F00E53"/>
    <w:rsid w:val="00F00F33"/>
    <w:rsid w:val="00F02A56"/>
    <w:rsid w:val="00F07F87"/>
    <w:rsid w:val="00F15F3A"/>
    <w:rsid w:val="00F17E7F"/>
    <w:rsid w:val="00F218BD"/>
    <w:rsid w:val="00F22EE5"/>
    <w:rsid w:val="00F232E4"/>
    <w:rsid w:val="00F23C98"/>
    <w:rsid w:val="00F27108"/>
    <w:rsid w:val="00F271B2"/>
    <w:rsid w:val="00F27840"/>
    <w:rsid w:val="00F325E7"/>
    <w:rsid w:val="00F3698E"/>
    <w:rsid w:val="00F41E48"/>
    <w:rsid w:val="00F42EEE"/>
    <w:rsid w:val="00F469B3"/>
    <w:rsid w:val="00F4766B"/>
    <w:rsid w:val="00F50307"/>
    <w:rsid w:val="00F51EC3"/>
    <w:rsid w:val="00F52A86"/>
    <w:rsid w:val="00F53606"/>
    <w:rsid w:val="00F53960"/>
    <w:rsid w:val="00F54143"/>
    <w:rsid w:val="00F5480D"/>
    <w:rsid w:val="00F54BC7"/>
    <w:rsid w:val="00F55C2B"/>
    <w:rsid w:val="00F5694C"/>
    <w:rsid w:val="00F56FC7"/>
    <w:rsid w:val="00F621A7"/>
    <w:rsid w:val="00F62245"/>
    <w:rsid w:val="00F633E1"/>
    <w:rsid w:val="00F660A8"/>
    <w:rsid w:val="00F67BF1"/>
    <w:rsid w:val="00F67ED1"/>
    <w:rsid w:val="00F70668"/>
    <w:rsid w:val="00F733E7"/>
    <w:rsid w:val="00F73A3D"/>
    <w:rsid w:val="00F755DB"/>
    <w:rsid w:val="00F76073"/>
    <w:rsid w:val="00F76D7A"/>
    <w:rsid w:val="00F80D25"/>
    <w:rsid w:val="00F82D78"/>
    <w:rsid w:val="00F8483A"/>
    <w:rsid w:val="00F854C8"/>
    <w:rsid w:val="00F8558B"/>
    <w:rsid w:val="00F90DEE"/>
    <w:rsid w:val="00F91B07"/>
    <w:rsid w:val="00F91B8D"/>
    <w:rsid w:val="00F92AE9"/>
    <w:rsid w:val="00F93277"/>
    <w:rsid w:val="00F93B40"/>
    <w:rsid w:val="00F94454"/>
    <w:rsid w:val="00F94DF4"/>
    <w:rsid w:val="00F96081"/>
    <w:rsid w:val="00F9682C"/>
    <w:rsid w:val="00F9789C"/>
    <w:rsid w:val="00F97D55"/>
    <w:rsid w:val="00F97F66"/>
    <w:rsid w:val="00FA18DA"/>
    <w:rsid w:val="00FA2F0E"/>
    <w:rsid w:val="00FA40B1"/>
    <w:rsid w:val="00FA4B41"/>
    <w:rsid w:val="00FA74BE"/>
    <w:rsid w:val="00FB10B9"/>
    <w:rsid w:val="00FB17D5"/>
    <w:rsid w:val="00FB1B67"/>
    <w:rsid w:val="00FB694A"/>
    <w:rsid w:val="00FB70AA"/>
    <w:rsid w:val="00FC0566"/>
    <w:rsid w:val="00FC05D2"/>
    <w:rsid w:val="00FC1272"/>
    <w:rsid w:val="00FC3B41"/>
    <w:rsid w:val="00FC5BE6"/>
    <w:rsid w:val="00FC619A"/>
    <w:rsid w:val="00FC6232"/>
    <w:rsid w:val="00FC73FA"/>
    <w:rsid w:val="00FD0062"/>
    <w:rsid w:val="00FD0CB9"/>
    <w:rsid w:val="00FD5A80"/>
    <w:rsid w:val="00FE404C"/>
    <w:rsid w:val="00FE454B"/>
    <w:rsid w:val="00FE7F54"/>
    <w:rsid w:val="00FE7FF7"/>
    <w:rsid w:val="00FF0893"/>
    <w:rsid w:val="00FF72B5"/>
    <w:rsid w:val="037F384C"/>
    <w:rsid w:val="0A470CEC"/>
    <w:rsid w:val="10F70AE6"/>
    <w:rsid w:val="130B4CCD"/>
    <w:rsid w:val="175D1764"/>
    <w:rsid w:val="1D07422E"/>
    <w:rsid w:val="2234748E"/>
    <w:rsid w:val="223573AF"/>
    <w:rsid w:val="247D2822"/>
    <w:rsid w:val="2B206872"/>
    <w:rsid w:val="38225026"/>
    <w:rsid w:val="3BEB0249"/>
    <w:rsid w:val="44E35950"/>
    <w:rsid w:val="464C6FE8"/>
    <w:rsid w:val="4F116F5F"/>
    <w:rsid w:val="52374D6B"/>
    <w:rsid w:val="5BEE6662"/>
    <w:rsid w:val="5BF32AEA"/>
    <w:rsid w:val="5F653515"/>
    <w:rsid w:val="5F782EE1"/>
    <w:rsid w:val="5F9B4B6A"/>
    <w:rsid w:val="6AF15601"/>
    <w:rsid w:val="713C6529"/>
    <w:rsid w:val="74427F4C"/>
    <w:rsid w:val="79D60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toc 3"/>
    <w:basedOn w:val="1"/>
    <w:next w:val="1"/>
    <w:unhideWhenUsed/>
    <w:qFormat/>
    <w:uiPriority w:val="39"/>
    <w:pPr>
      <w:widowControl/>
      <w:spacing w:after="100" w:line="276" w:lineRule="auto"/>
      <w:ind w:left="440"/>
      <w:jc w:val="left"/>
    </w:pPr>
    <w:rPr>
      <w:kern w:val="0"/>
      <w:sz w:val="22"/>
    </w:rPr>
  </w:style>
  <w:style w:type="paragraph" w:styleId="5">
    <w:name w:val="Balloon Text"/>
    <w:basedOn w:val="1"/>
    <w:link w:val="20"/>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widowControl/>
      <w:tabs>
        <w:tab w:val="right" w:leader="dot" w:pos="8296"/>
      </w:tabs>
      <w:spacing w:after="100" w:line="360" w:lineRule="auto"/>
      <w:jc w:val="left"/>
    </w:pPr>
    <w:rPr>
      <w:rFonts w:asciiTheme="minorEastAsia" w:hAnsiTheme="minorEastAsia"/>
      <w:b/>
      <w:kern w:val="0"/>
      <w:sz w:val="24"/>
      <w:szCs w:val="24"/>
    </w:rPr>
  </w:style>
  <w:style w:type="paragraph" w:styleId="9">
    <w:name w:val="footnote text"/>
    <w:basedOn w:val="1"/>
    <w:link w:val="21"/>
    <w:semiHidden/>
    <w:unhideWhenUsed/>
    <w:qFormat/>
    <w:uiPriority w:val="99"/>
    <w:pPr>
      <w:snapToGrid w:val="0"/>
      <w:jc w:val="left"/>
    </w:pPr>
    <w:rPr>
      <w:sz w:val="18"/>
      <w:szCs w:val="18"/>
    </w:rPr>
  </w:style>
  <w:style w:type="paragraph" w:styleId="10">
    <w:name w:val="toc 2"/>
    <w:basedOn w:val="1"/>
    <w:next w:val="1"/>
    <w:unhideWhenUsed/>
    <w:qFormat/>
    <w:uiPriority w:val="39"/>
    <w:pPr>
      <w:widowControl/>
      <w:spacing w:after="100" w:line="276" w:lineRule="auto"/>
      <w:ind w:left="220"/>
      <w:jc w:val="left"/>
    </w:pPr>
    <w:rPr>
      <w:kern w:val="0"/>
      <w:sz w:val="22"/>
    </w:rPr>
  </w:style>
  <w:style w:type="character" w:styleId="13">
    <w:name w:val="Hyperlink"/>
    <w:basedOn w:val="12"/>
    <w:unhideWhenUsed/>
    <w:qFormat/>
    <w:uiPriority w:val="99"/>
    <w:rPr>
      <w:color w:val="0563C1" w:themeColor="hyperlink"/>
      <w:u w:val="single"/>
    </w:rPr>
  </w:style>
  <w:style w:type="character" w:styleId="14">
    <w:name w:val="footnote reference"/>
    <w:basedOn w:val="12"/>
    <w:semiHidden/>
    <w:unhideWhenUsed/>
    <w:qFormat/>
    <w:uiPriority w:val="99"/>
    <w:rPr>
      <w:vertAlign w:val="superscript"/>
    </w:rPr>
  </w:style>
  <w:style w:type="character" w:customStyle="1" w:styleId="15">
    <w:name w:val="页眉 Char"/>
    <w:basedOn w:val="12"/>
    <w:link w:val="7"/>
    <w:qFormat/>
    <w:uiPriority w:val="99"/>
    <w:rPr>
      <w:sz w:val="18"/>
      <w:szCs w:val="18"/>
    </w:rPr>
  </w:style>
  <w:style w:type="character" w:customStyle="1" w:styleId="16">
    <w:name w:val="页脚 Char"/>
    <w:basedOn w:val="12"/>
    <w:link w:val="6"/>
    <w:qFormat/>
    <w:uiPriority w:val="99"/>
    <w:rPr>
      <w:sz w:val="18"/>
      <w:szCs w:val="18"/>
    </w:rPr>
  </w:style>
  <w:style w:type="character" w:customStyle="1" w:styleId="17">
    <w:name w:val="标题 1 Char"/>
    <w:basedOn w:val="12"/>
    <w:link w:val="2"/>
    <w:qFormat/>
    <w:uiPriority w:val="9"/>
    <w:rPr>
      <w:b/>
      <w:bCs/>
      <w:kern w:val="44"/>
      <w:sz w:val="44"/>
      <w:szCs w:val="44"/>
    </w:rPr>
  </w:style>
  <w:style w:type="paragraph" w:customStyle="1" w:styleId="18">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5" w:themeColor="accent1" w:themeShade="BF"/>
      <w:kern w:val="0"/>
      <w:sz w:val="28"/>
      <w:szCs w:val="28"/>
    </w:rPr>
  </w:style>
  <w:style w:type="character" w:customStyle="1" w:styleId="19">
    <w:name w:val="标题 2 Char"/>
    <w:basedOn w:val="12"/>
    <w:link w:val="3"/>
    <w:qFormat/>
    <w:uiPriority w:val="9"/>
    <w:rPr>
      <w:rFonts w:asciiTheme="majorHAnsi" w:hAnsiTheme="majorHAnsi" w:eastAsiaTheme="majorEastAsia" w:cstheme="majorBidi"/>
      <w:b/>
      <w:bCs/>
      <w:sz w:val="32"/>
      <w:szCs w:val="32"/>
    </w:rPr>
  </w:style>
  <w:style w:type="character" w:customStyle="1" w:styleId="20">
    <w:name w:val="批注框文本 Char"/>
    <w:basedOn w:val="12"/>
    <w:link w:val="5"/>
    <w:semiHidden/>
    <w:qFormat/>
    <w:uiPriority w:val="99"/>
    <w:rPr>
      <w:sz w:val="18"/>
      <w:szCs w:val="18"/>
    </w:rPr>
  </w:style>
  <w:style w:type="character" w:customStyle="1" w:styleId="21">
    <w:name w:val="脚注文本 Char"/>
    <w:basedOn w:val="12"/>
    <w:link w:val="9"/>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A6F0A-4EAC-4932-8571-1F49D538581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2069</Words>
  <Characters>11795</Characters>
  <Lines>98</Lines>
  <Paragraphs>27</Paragraphs>
  <TotalTime>4</TotalTime>
  <ScaleCrop>false</ScaleCrop>
  <LinksUpToDate>false</LinksUpToDate>
  <CharactersWithSpaces>13837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2024-08-05T08:32:00Z</dcterms:created>
  <dc:creator>刘雯</dc:creator>
  <cp:lastModifiedBy>葛伶燕</cp:lastModifiedBy>
  <cp:lastPrinted>2025-03-31T02:59:00Z</cp:lastPrinted>
  <dcterms:modified xsi:type="dcterms:W3CDTF">2026-04-24T03:01:50Z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FD2FE7BBDB0F4BA2978843300B9D1D07</vt:lpwstr>
  </property>
</Properties>
</file>