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Times New Roman" w:asciiTheme="minorEastAsia" w:hAnsiTheme="minorEastAsia"/>
          <w:b/>
          <w:szCs w:val="21"/>
        </w:rPr>
      </w:pPr>
    </w:p>
    <w:p>
      <w:pPr>
        <w:spacing w:line="360" w:lineRule="auto"/>
        <w:jc w:val="center"/>
        <w:rPr>
          <w:rFonts w:cs="Times New Roman" w:asciiTheme="minorEastAsia" w:hAnsiTheme="minorEastAsia"/>
          <w:b/>
          <w:szCs w:val="21"/>
        </w:rPr>
      </w:pPr>
      <w:bookmarkStart w:id="9" w:name="_GoBack"/>
      <w:bookmarkEnd w:id="9"/>
    </w:p>
    <w:p>
      <w:pPr>
        <w:spacing w:line="360" w:lineRule="auto"/>
        <w:jc w:val="center"/>
        <w:rPr>
          <w:rFonts w:cs="Times New Roman" w:asciiTheme="minorEastAsia" w:hAnsiTheme="minorEastAsia"/>
          <w:b/>
          <w:szCs w:val="21"/>
        </w:rPr>
      </w:pPr>
    </w:p>
    <w:p>
      <w:pPr>
        <w:spacing w:line="360" w:lineRule="auto"/>
        <w:jc w:val="center"/>
        <w:rPr>
          <w:rFonts w:ascii="黑体" w:hAnsi="黑体" w:eastAsia="黑体"/>
          <w:b/>
          <w:bCs/>
          <w:sz w:val="44"/>
          <w:szCs w:val="44"/>
        </w:rPr>
      </w:pPr>
      <w:r>
        <w:rPr>
          <w:rFonts w:hint="eastAsia" w:ascii="黑体" w:hAnsi="黑体" w:eastAsia="黑体"/>
          <w:b/>
          <w:bCs/>
          <w:sz w:val="44"/>
          <w:szCs w:val="44"/>
        </w:rPr>
        <w:t>江苏紫金农村商业银行股份有限公司</w:t>
      </w:r>
    </w:p>
    <w:p>
      <w:pPr>
        <w:spacing w:line="360" w:lineRule="auto"/>
        <w:jc w:val="center"/>
        <w:rPr>
          <w:rFonts w:ascii="黑体" w:hAnsi="黑体" w:eastAsia="黑体"/>
          <w:b/>
          <w:bCs/>
          <w:sz w:val="44"/>
          <w:szCs w:val="44"/>
        </w:rPr>
      </w:pPr>
      <w:r>
        <w:rPr>
          <w:rFonts w:hint="eastAsia" w:ascii="黑体" w:hAnsi="黑体" w:eastAsia="黑体"/>
          <w:b/>
          <w:bCs/>
          <w:sz w:val="44"/>
          <w:szCs w:val="44"/>
        </w:rPr>
        <w:t>202</w:t>
      </w:r>
      <w:r>
        <w:rPr>
          <w:rFonts w:ascii="黑体" w:hAnsi="黑体" w:eastAsia="黑体"/>
          <w:b/>
          <w:bCs/>
          <w:sz w:val="44"/>
          <w:szCs w:val="44"/>
        </w:rPr>
        <w:t>6</w:t>
      </w:r>
      <w:r>
        <w:rPr>
          <w:rFonts w:hint="eastAsia" w:ascii="黑体" w:hAnsi="黑体" w:eastAsia="黑体"/>
          <w:b/>
          <w:bCs/>
          <w:sz w:val="44"/>
          <w:szCs w:val="44"/>
        </w:rPr>
        <w:t>年第一季度第三支柱信息披露报告</w:t>
      </w:r>
    </w:p>
    <w:p>
      <w:pPr>
        <w:spacing w:line="360" w:lineRule="auto"/>
        <w:rPr>
          <w:rFonts w:cs="Times New Roman" w:asciiTheme="minorEastAsia" w:hAnsiTheme="minorEastAsia"/>
          <w:color w:val="000000"/>
          <w:szCs w:val="21"/>
        </w:rPr>
      </w:pPr>
    </w:p>
    <w:sdt>
      <w:sdtPr>
        <w:rPr>
          <w:rFonts w:asciiTheme="minorHAnsi" w:hAnsiTheme="minorHAnsi" w:eastAsiaTheme="minorEastAsia" w:cstheme="minorBidi"/>
          <w:b w:val="0"/>
          <w:bCs w:val="0"/>
          <w:color w:val="auto"/>
          <w:kern w:val="2"/>
          <w:sz w:val="21"/>
          <w:szCs w:val="22"/>
          <w:lang w:val="zh-CN"/>
        </w:rPr>
        <w:id w:val="591283940"/>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pPr>
            <w:pStyle w:val="18"/>
            <w:spacing w:line="360" w:lineRule="auto"/>
            <w:jc w:val="center"/>
            <w:rPr>
              <w:color w:val="auto"/>
              <w:sz w:val="36"/>
              <w:szCs w:val="32"/>
            </w:rPr>
          </w:pPr>
          <w:r>
            <w:rPr>
              <w:color w:val="auto"/>
              <w:sz w:val="36"/>
              <w:szCs w:val="32"/>
              <w:lang w:val="zh-CN"/>
            </w:rPr>
            <w:t>目录</w:t>
          </w:r>
        </w:p>
        <w:p>
          <w:pPr>
            <w:pStyle w:val="8"/>
            <w:rPr>
              <w:rFonts w:asciiTheme="minorHAnsi" w:hAnsiTheme="minorHAnsi"/>
              <w:b w:val="0"/>
              <w:kern w:val="2"/>
              <w:sz w:val="21"/>
              <w:szCs w:val="22"/>
            </w:rPr>
          </w:pPr>
          <w:r>
            <w:fldChar w:fldCharType="begin"/>
          </w:r>
          <w:r>
            <w:instrText xml:space="preserve"> TOC \o "1-3" \h \z \u </w:instrText>
          </w:r>
          <w:r>
            <w:fldChar w:fldCharType="separate"/>
          </w:r>
          <w:r>
            <w:fldChar w:fldCharType="begin"/>
          </w:r>
          <w:r>
            <w:instrText xml:space="preserve"> HYPERLINK \l "_Toc226824210" </w:instrText>
          </w:r>
          <w:r>
            <w:fldChar w:fldCharType="separate"/>
          </w:r>
          <w:r>
            <w:rPr>
              <w:rStyle w:val="13"/>
            </w:rPr>
            <w:t xml:space="preserve">1  </w:t>
          </w:r>
          <w:r>
            <w:rPr>
              <w:rStyle w:val="13"/>
              <w:rFonts w:hint="eastAsia"/>
            </w:rPr>
            <w:t>引言</w:t>
          </w:r>
          <w:r>
            <w:tab/>
          </w:r>
          <w:r>
            <w:fldChar w:fldCharType="begin"/>
          </w:r>
          <w:r>
            <w:instrText xml:space="preserve"> PAGEREF _Toc226824210 \h </w:instrText>
          </w:r>
          <w:r>
            <w:fldChar w:fldCharType="separate"/>
          </w:r>
          <w:r>
            <w:t>1</w:t>
          </w:r>
          <w:r>
            <w:fldChar w:fldCharType="end"/>
          </w:r>
          <w:r>
            <w:fldChar w:fldCharType="end"/>
          </w:r>
        </w:p>
        <w:p>
          <w:pPr>
            <w:pStyle w:val="10"/>
            <w:tabs>
              <w:tab w:val="right" w:leader="dot" w:pos="8302"/>
            </w:tabs>
            <w:rPr>
              <w:kern w:val="2"/>
              <w:sz w:val="21"/>
            </w:rPr>
          </w:pPr>
          <w:r>
            <w:fldChar w:fldCharType="begin"/>
          </w:r>
          <w:r>
            <w:instrText xml:space="preserve"> HYPERLINK \l "_Toc226824211" </w:instrText>
          </w:r>
          <w:r>
            <w:fldChar w:fldCharType="separate"/>
          </w:r>
          <w:r>
            <w:rPr>
              <w:rStyle w:val="13"/>
              <w:rFonts w:asciiTheme="minorEastAsia" w:hAnsiTheme="minorEastAsia"/>
            </w:rPr>
            <w:t xml:space="preserve">1.1  </w:t>
          </w:r>
          <w:r>
            <w:rPr>
              <w:rStyle w:val="13"/>
              <w:rFonts w:hint="eastAsia" w:asciiTheme="minorEastAsia" w:hAnsiTheme="minorEastAsia"/>
            </w:rPr>
            <w:t>披露依据</w:t>
          </w:r>
          <w:r>
            <w:tab/>
          </w:r>
          <w:r>
            <w:fldChar w:fldCharType="begin"/>
          </w:r>
          <w:r>
            <w:instrText xml:space="preserve"> PAGEREF _Toc226824211 \h </w:instrText>
          </w:r>
          <w:r>
            <w:fldChar w:fldCharType="separate"/>
          </w:r>
          <w:r>
            <w:t>1</w:t>
          </w:r>
          <w:r>
            <w:fldChar w:fldCharType="end"/>
          </w:r>
          <w:r>
            <w:fldChar w:fldCharType="end"/>
          </w:r>
        </w:p>
        <w:p>
          <w:pPr>
            <w:pStyle w:val="10"/>
            <w:tabs>
              <w:tab w:val="right" w:leader="dot" w:pos="8302"/>
            </w:tabs>
            <w:rPr>
              <w:kern w:val="2"/>
              <w:sz w:val="21"/>
            </w:rPr>
          </w:pPr>
          <w:r>
            <w:fldChar w:fldCharType="begin"/>
          </w:r>
          <w:r>
            <w:instrText xml:space="preserve"> HYPERLINK \l "_Toc226824212" </w:instrText>
          </w:r>
          <w:r>
            <w:fldChar w:fldCharType="separate"/>
          </w:r>
          <w:r>
            <w:rPr>
              <w:rStyle w:val="13"/>
              <w:rFonts w:asciiTheme="minorEastAsia" w:hAnsiTheme="minorEastAsia"/>
            </w:rPr>
            <w:t xml:space="preserve">1.2  </w:t>
          </w:r>
          <w:r>
            <w:rPr>
              <w:rStyle w:val="13"/>
              <w:rFonts w:hint="eastAsia" w:asciiTheme="minorEastAsia" w:hAnsiTheme="minorEastAsia"/>
            </w:rPr>
            <w:t>披露声明</w:t>
          </w:r>
          <w:r>
            <w:tab/>
          </w:r>
          <w:r>
            <w:fldChar w:fldCharType="begin"/>
          </w:r>
          <w:r>
            <w:instrText xml:space="preserve"> PAGEREF _Toc226824212 \h </w:instrText>
          </w:r>
          <w:r>
            <w:fldChar w:fldCharType="separate"/>
          </w:r>
          <w:r>
            <w:t>1</w:t>
          </w:r>
          <w:r>
            <w:fldChar w:fldCharType="end"/>
          </w:r>
          <w:r>
            <w:fldChar w:fldCharType="end"/>
          </w:r>
        </w:p>
        <w:p>
          <w:pPr>
            <w:pStyle w:val="8"/>
            <w:rPr>
              <w:rFonts w:asciiTheme="minorHAnsi" w:hAnsiTheme="minorHAnsi"/>
              <w:b w:val="0"/>
              <w:kern w:val="2"/>
              <w:sz w:val="21"/>
              <w:szCs w:val="22"/>
            </w:rPr>
          </w:pPr>
          <w:r>
            <w:fldChar w:fldCharType="begin"/>
          </w:r>
          <w:r>
            <w:instrText xml:space="preserve"> HYPERLINK \l "_Toc226824213" </w:instrText>
          </w:r>
          <w:r>
            <w:fldChar w:fldCharType="separate"/>
          </w:r>
          <w:r>
            <w:rPr>
              <w:rStyle w:val="13"/>
            </w:rPr>
            <w:t xml:space="preserve">2  </w:t>
          </w:r>
          <w:r>
            <w:rPr>
              <w:rStyle w:val="13"/>
              <w:rFonts w:hint="eastAsia"/>
            </w:rPr>
            <w:t>风险管理、关键审慎监管指标和风险加权资产概览</w:t>
          </w:r>
          <w:r>
            <w:tab/>
          </w:r>
          <w:r>
            <w:fldChar w:fldCharType="begin"/>
          </w:r>
          <w:r>
            <w:instrText xml:space="preserve"> PAGEREF _Toc226824213 \h </w:instrText>
          </w:r>
          <w:r>
            <w:fldChar w:fldCharType="separate"/>
          </w:r>
          <w:r>
            <w:t>2</w:t>
          </w:r>
          <w:r>
            <w:fldChar w:fldCharType="end"/>
          </w:r>
          <w:r>
            <w:fldChar w:fldCharType="end"/>
          </w:r>
        </w:p>
        <w:p>
          <w:pPr>
            <w:pStyle w:val="10"/>
            <w:tabs>
              <w:tab w:val="right" w:leader="dot" w:pos="8302"/>
            </w:tabs>
            <w:rPr>
              <w:kern w:val="2"/>
              <w:sz w:val="21"/>
            </w:rPr>
          </w:pPr>
          <w:r>
            <w:fldChar w:fldCharType="begin"/>
          </w:r>
          <w:r>
            <w:instrText xml:space="preserve"> HYPERLINK \l "_Toc226824214" </w:instrText>
          </w:r>
          <w:r>
            <w:fldChar w:fldCharType="separate"/>
          </w:r>
          <w:r>
            <w:rPr>
              <w:rStyle w:val="13"/>
              <w:rFonts w:asciiTheme="minorEastAsia" w:hAnsiTheme="minorEastAsia"/>
            </w:rPr>
            <w:t xml:space="preserve">2.1  KM1 </w:t>
          </w:r>
          <w:r>
            <w:rPr>
              <w:rStyle w:val="13"/>
              <w:rFonts w:hint="eastAsia" w:asciiTheme="minorEastAsia" w:hAnsiTheme="minorEastAsia"/>
            </w:rPr>
            <w:t>关键审慎监管指标</w:t>
          </w:r>
          <w:r>
            <w:tab/>
          </w:r>
          <w:r>
            <w:fldChar w:fldCharType="begin"/>
          </w:r>
          <w:r>
            <w:instrText xml:space="preserve"> PAGEREF _Toc226824214 \h </w:instrText>
          </w:r>
          <w:r>
            <w:fldChar w:fldCharType="separate"/>
          </w:r>
          <w:r>
            <w:t>2</w:t>
          </w:r>
          <w:r>
            <w:fldChar w:fldCharType="end"/>
          </w:r>
          <w:r>
            <w:fldChar w:fldCharType="end"/>
          </w:r>
        </w:p>
        <w:p>
          <w:pPr>
            <w:pStyle w:val="10"/>
            <w:tabs>
              <w:tab w:val="right" w:leader="dot" w:pos="8302"/>
            </w:tabs>
            <w:rPr>
              <w:kern w:val="2"/>
              <w:sz w:val="21"/>
            </w:rPr>
          </w:pPr>
          <w:r>
            <w:fldChar w:fldCharType="begin"/>
          </w:r>
          <w:r>
            <w:instrText xml:space="preserve"> HYPERLINK \l "_Toc226824215" </w:instrText>
          </w:r>
          <w:r>
            <w:fldChar w:fldCharType="separate"/>
          </w:r>
          <w:r>
            <w:rPr>
              <w:rStyle w:val="13"/>
              <w:rFonts w:asciiTheme="minorEastAsia" w:hAnsiTheme="minorEastAsia"/>
            </w:rPr>
            <w:t xml:space="preserve">2.2  </w:t>
          </w:r>
          <w:r>
            <w:rPr>
              <w:rStyle w:val="13"/>
              <w:rFonts w:cs="Times New Roman" w:asciiTheme="minorEastAsia" w:hAnsiTheme="minorEastAsia"/>
            </w:rPr>
            <w:t xml:space="preserve">OV1 </w:t>
          </w:r>
          <w:r>
            <w:rPr>
              <w:rStyle w:val="13"/>
              <w:rFonts w:hint="eastAsia" w:asciiTheme="minorEastAsia" w:hAnsiTheme="minorEastAsia"/>
            </w:rPr>
            <w:t>风险加权资产概况</w:t>
          </w:r>
          <w:r>
            <w:tab/>
          </w:r>
          <w:r>
            <w:fldChar w:fldCharType="begin"/>
          </w:r>
          <w:r>
            <w:instrText xml:space="preserve"> PAGEREF _Toc226824215 \h </w:instrText>
          </w:r>
          <w:r>
            <w:fldChar w:fldCharType="separate"/>
          </w:r>
          <w:r>
            <w:t>3</w:t>
          </w:r>
          <w:r>
            <w:fldChar w:fldCharType="end"/>
          </w:r>
          <w:r>
            <w:fldChar w:fldCharType="end"/>
          </w:r>
        </w:p>
        <w:p>
          <w:pPr>
            <w:pStyle w:val="8"/>
            <w:rPr>
              <w:rFonts w:asciiTheme="minorHAnsi" w:hAnsiTheme="minorHAnsi"/>
              <w:b w:val="0"/>
              <w:kern w:val="2"/>
              <w:sz w:val="21"/>
              <w:szCs w:val="22"/>
            </w:rPr>
          </w:pPr>
          <w:r>
            <w:fldChar w:fldCharType="begin"/>
          </w:r>
          <w:r>
            <w:instrText xml:space="preserve"> HYPERLINK \l "_Toc226824216" </w:instrText>
          </w:r>
          <w:r>
            <w:fldChar w:fldCharType="separate"/>
          </w:r>
          <w:r>
            <w:rPr>
              <w:rStyle w:val="13"/>
            </w:rPr>
            <w:t xml:space="preserve">3  </w:t>
          </w:r>
          <w:r>
            <w:rPr>
              <w:rStyle w:val="13"/>
              <w:rFonts w:hint="eastAsia"/>
            </w:rPr>
            <w:t>杠杆率</w:t>
          </w:r>
          <w:r>
            <w:tab/>
          </w:r>
          <w:r>
            <w:fldChar w:fldCharType="begin"/>
          </w:r>
          <w:r>
            <w:instrText xml:space="preserve"> PAGEREF _Toc226824216 \h </w:instrText>
          </w:r>
          <w:r>
            <w:fldChar w:fldCharType="separate"/>
          </w:r>
          <w:r>
            <w:t>4</w:t>
          </w:r>
          <w:r>
            <w:fldChar w:fldCharType="end"/>
          </w:r>
          <w:r>
            <w:fldChar w:fldCharType="end"/>
          </w:r>
        </w:p>
        <w:p>
          <w:pPr>
            <w:pStyle w:val="10"/>
            <w:tabs>
              <w:tab w:val="right" w:leader="dot" w:pos="8302"/>
            </w:tabs>
            <w:rPr>
              <w:kern w:val="2"/>
              <w:sz w:val="21"/>
            </w:rPr>
          </w:pPr>
          <w:r>
            <w:fldChar w:fldCharType="begin"/>
          </w:r>
          <w:r>
            <w:instrText xml:space="preserve"> HYPERLINK \l "_Toc226824217" </w:instrText>
          </w:r>
          <w:r>
            <w:fldChar w:fldCharType="separate"/>
          </w:r>
          <w:r>
            <w:rPr>
              <w:rStyle w:val="13"/>
              <w:rFonts w:asciiTheme="minorEastAsia" w:hAnsiTheme="minorEastAsia"/>
            </w:rPr>
            <w:t xml:space="preserve">3.1  </w:t>
          </w:r>
          <w:r>
            <w:rPr>
              <w:rStyle w:val="13"/>
              <w:rFonts w:cs="Times New Roman" w:asciiTheme="minorEastAsia" w:hAnsiTheme="minorEastAsia"/>
            </w:rPr>
            <w:t xml:space="preserve">LR1 </w:t>
          </w:r>
          <w:r>
            <w:rPr>
              <w:rStyle w:val="13"/>
              <w:rFonts w:hint="eastAsia" w:asciiTheme="minorEastAsia" w:hAnsiTheme="minorEastAsia"/>
            </w:rPr>
            <w:t>杠杆率监管项目与相关会计项目的差异</w:t>
          </w:r>
          <w:r>
            <w:tab/>
          </w:r>
          <w:r>
            <w:fldChar w:fldCharType="begin"/>
          </w:r>
          <w:r>
            <w:instrText xml:space="preserve"> PAGEREF _Toc226824217 \h </w:instrText>
          </w:r>
          <w:r>
            <w:fldChar w:fldCharType="separate"/>
          </w:r>
          <w:r>
            <w:t>4</w:t>
          </w:r>
          <w:r>
            <w:fldChar w:fldCharType="end"/>
          </w:r>
          <w:r>
            <w:fldChar w:fldCharType="end"/>
          </w:r>
        </w:p>
        <w:p>
          <w:pPr>
            <w:pStyle w:val="10"/>
            <w:tabs>
              <w:tab w:val="right" w:leader="dot" w:pos="8302"/>
            </w:tabs>
            <w:rPr>
              <w:kern w:val="2"/>
              <w:sz w:val="21"/>
            </w:rPr>
          </w:pPr>
          <w:r>
            <w:fldChar w:fldCharType="begin"/>
          </w:r>
          <w:r>
            <w:instrText xml:space="preserve"> HYPERLINK \l "_Toc226824218" </w:instrText>
          </w:r>
          <w:r>
            <w:fldChar w:fldCharType="separate"/>
          </w:r>
          <w:r>
            <w:rPr>
              <w:rStyle w:val="13"/>
              <w:rFonts w:asciiTheme="minorEastAsia" w:hAnsiTheme="minorEastAsia"/>
            </w:rPr>
            <w:t xml:space="preserve">3.2  </w:t>
          </w:r>
          <w:r>
            <w:rPr>
              <w:rStyle w:val="13"/>
              <w:rFonts w:cs="Times New Roman" w:asciiTheme="minorEastAsia" w:hAnsiTheme="minorEastAsia"/>
            </w:rPr>
            <w:t xml:space="preserve">LR2 </w:t>
          </w:r>
          <w:r>
            <w:rPr>
              <w:rStyle w:val="13"/>
              <w:rFonts w:hint="eastAsia" w:asciiTheme="minorEastAsia" w:hAnsiTheme="minorEastAsia"/>
            </w:rPr>
            <w:t>杠杆率</w:t>
          </w:r>
          <w:r>
            <w:tab/>
          </w:r>
          <w:r>
            <w:fldChar w:fldCharType="begin"/>
          </w:r>
          <w:r>
            <w:instrText xml:space="preserve"> PAGEREF _Toc226824218 \h </w:instrText>
          </w:r>
          <w:r>
            <w:fldChar w:fldCharType="separate"/>
          </w:r>
          <w:r>
            <w:t>5</w:t>
          </w:r>
          <w:r>
            <w:fldChar w:fldCharType="end"/>
          </w:r>
          <w:r>
            <w:fldChar w:fldCharType="end"/>
          </w:r>
        </w:p>
        <w:p>
          <w:pPr>
            <w:spacing w:line="360" w:lineRule="auto"/>
          </w:pPr>
          <w:r>
            <w:rPr>
              <w:rFonts w:asciiTheme="minorEastAsia" w:hAnsiTheme="minorEastAsia"/>
              <w:b/>
              <w:bCs/>
              <w:sz w:val="24"/>
              <w:szCs w:val="24"/>
              <w:lang w:val="zh-CN"/>
            </w:rPr>
            <w:fldChar w:fldCharType="end"/>
          </w:r>
        </w:p>
      </w:sdtContent>
    </w:sdt>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spacing w:line="360" w:lineRule="auto"/>
        <w:rPr>
          <w:rFonts w:cs="Times New Roman" w:asciiTheme="minorEastAsia" w:hAnsiTheme="minorEastAsia"/>
          <w:color w:val="000000"/>
          <w:szCs w:val="21"/>
        </w:rPr>
      </w:pPr>
    </w:p>
    <w:p>
      <w:pPr>
        <w:pStyle w:val="2"/>
        <w:spacing w:before="0" w:after="0" w:line="360" w:lineRule="auto"/>
        <w:rPr>
          <w:rFonts w:asciiTheme="minorEastAsia" w:hAnsiTheme="minorEastAsia"/>
          <w:sz w:val="28"/>
          <w:szCs w:val="24"/>
        </w:rPr>
        <w:sectPr>
          <w:pgSz w:w="11906" w:h="16838"/>
          <w:pgMar w:top="1304" w:right="1797" w:bottom="1304" w:left="1797" w:header="851" w:footer="992" w:gutter="0"/>
          <w:cols w:space="425" w:num="1"/>
          <w:docGrid w:type="lines" w:linePitch="312" w:charSpace="0"/>
        </w:sectPr>
      </w:pPr>
    </w:p>
    <w:p>
      <w:pPr>
        <w:pStyle w:val="2"/>
        <w:spacing w:before="0" w:after="0" w:line="360" w:lineRule="auto"/>
        <w:rPr>
          <w:rFonts w:asciiTheme="minorEastAsia" w:hAnsiTheme="minorEastAsia"/>
          <w:sz w:val="28"/>
          <w:szCs w:val="24"/>
        </w:rPr>
      </w:pPr>
      <w:bookmarkStart w:id="0" w:name="_Toc226824210"/>
      <w:r>
        <w:rPr>
          <w:rFonts w:hint="eastAsia" w:asciiTheme="minorEastAsia" w:hAnsiTheme="minorEastAsia"/>
          <w:sz w:val="28"/>
          <w:szCs w:val="24"/>
        </w:rPr>
        <w:t>1</w:t>
      </w:r>
      <w:r>
        <w:rPr>
          <w:rFonts w:asciiTheme="minorEastAsia" w:hAnsiTheme="minorEastAsia"/>
          <w:sz w:val="28"/>
          <w:szCs w:val="24"/>
        </w:rPr>
        <w:t xml:space="preserve">  </w:t>
      </w:r>
      <w:r>
        <w:rPr>
          <w:rFonts w:hint="eastAsia" w:asciiTheme="minorEastAsia" w:hAnsiTheme="minorEastAsia"/>
          <w:sz w:val="28"/>
          <w:szCs w:val="24"/>
        </w:rPr>
        <w:t>引言</w:t>
      </w:r>
      <w:bookmarkEnd w:id="0"/>
    </w:p>
    <w:p>
      <w:pPr>
        <w:pStyle w:val="3"/>
        <w:spacing w:before="0" w:after="0" w:line="360" w:lineRule="auto"/>
        <w:rPr>
          <w:rFonts w:asciiTheme="minorEastAsia" w:hAnsiTheme="minorEastAsia" w:eastAsiaTheme="minorEastAsia"/>
          <w:sz w:val="24"/>
          <w:szCs w:val="24"/>
        </w:rPr>
      </w:pPr>
      <w:bookmarkStart w:id="1" w:name="_Toc226824211"/>
      <w:r>
        <w:rPr>
          <w:rFonts w:hint="eastAsia" w:asciiTheme="minorEastAsia" w:hAnsiTheme="minorEastAsia" w:eastAsiaTheme="minorEastAsia"/>
          <w:sz w:val="24"/>
          <w:szCs w:val="24"/>
        </w:rPr>
        <w:t>1.1</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披露依据</w:t>
      </w:r>
      <w:bookmarkEnd w:id="1"/>
    </w:p>
    <w:p>
      <w:pPr>
        <w:spacing w:line="360" w:lineRule="auto"/>
        <w:ind w:firstLine="480" w:firstLineChars="200"/>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本报告根据国家金融监督管理总局令第4号《商业银行资本管理办法》编制并披露。</w:t>
      </w:r>
    </w:p>
    <w:p>
      <w:pPr>
        <w:pStyle w:val="3"/>
        <w:spacing w:before="0" w:after="0" w:line="360" w:lineRule="auto"/>
        <w:rPr>
          <w:rFonts w:asciiTheme="minorEastAsia" w:hAnsiTheme="minorEastAsia" w:eastAsiaTheme="minorEastAsia"/>
          <w:sz w:val="24"/>
          <w:szCs w:val="24"/>
        </w:rPr>
      </w:pPr>
      <w:bookmarkStart w:id="2" w:name="_Toc226824212"/>
      <w:r>
        <w:rPr>
          <w:rFonts w:hint="eastAsia" w:asciiTheme="minorEastAsia" w:hAnsiTheme="minorEastAsia" w:eastAsiaTheme="minorEastAsia"/>
          <w:sz w:val="24"/>
          <w:szCs w:val="24"/>
        </w:rPr>
        <w:t>1.2</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披露声明</w:t>
      </w:r>
      <w:bookmarkEnd w:id="2"/>
    </w:p>
    <w:p>
      <w:pPr>
        <w:spacing w:line="360" w:lineRule="auto"/>
        <w:ind w:firstLine="480" w:firstLineChars="200"/>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本公司已建立第三支柱信息披露管理治理架构，由本公司董事会批准并由高级管理层实施有效的内部控制流程，对信息披露内容进行合理审查，确保第三支柱披露信息真实、可靠。</w:t>
      </w:r>
    </w:p>
    <w:p>
      <w:pPr>
        <w:spacing w:line="360" w:lineRule="auto"/>
        <w:ind w:firstLine="480" w:firstLineChars="200"/>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本报告是按照国家金融监督管理总局《商业银行资本管理办法》正文第九章信息披露及附件22商业银行信息披露内容和要求编制，而非财务会计准则。因此，报告中的部分资料并不能与同期财务报告的信息直接进行比较。</w:t>
      </w:r>
    </w:p>
    <w:p>
      <w:pPr>
        <w:spacing w:line="360" w:lineRule="auto"/>
        <w:ind w:firstLine="480" w:firstLineChars="200"/>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本报告除特别注明外，均以千元为单位，因四舍五入可能存在数据尾差。</w:t>
      </w: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pStyle w:val="2"/>
        <w:spacing w:before="0" w:after="0" w:line="360" w:lineRule="auto"/>
        <w:rPr>
          <w:rFonts w:asciiTheme="minorEastAsia" w:hAnsiTheme="minorEastAsia"/>
          <w:sz w:val="28"/>
          <w:szCs w:val="28"/>
        </w:rPr>
      </w:pPr>
      <w:bookmarkStart w:id="3" w:name="_Toc226824213"/>
      <w:r>
        <w:rPr>
          <w:rFonts w:hint="eastAsia" w:asciiTheme="minorEastAsia" w:hAnsiTheme="minorEastAsia"/>
          <w:sz w:val="28"/>
          <w:szCs w:val="28"/>
        </w:rPr>
        <w:t>2</w:t>
      </w:r>
      <w:r>
        <w:rPr>
          <w:rFonts w:asciiTheme="minorEastAsia" w:hAnsiTheme="minorEastAsia"/>
          <w:sz w:val="28"/>
          <w:szCs w:val="28"/>
        </w:rPr>
        <w:t xml:space="preserve">  </w:t>
      </w:r>
      <w:r>
        <w:rPr>
          <w:rFonts w:hint="eastAsia" w:asciiTheme="minorEastAsia" w:hAnsiTheme="minorEastAsia"/>
          <w:sz w:val="28"/>
          <w:szCs w:val="28"/>
        </w:rPr>
        <w:t>风险管理、关键审慎监管指标和风险加权资产概览</w:t>
      </w:r>
      <w:bookmarkEnd w:id="3"/>
    </w:p>
    <w:p>
      <w:pPr>
        <w:pStyle w:val="3"/>
        <w:spacing w:before="0" w:after="0" w:line="360" w:lineRule="auto"/>
        <w:rPr>
          <w:rFonts w:asciiTheme="minorEastAsia" w:hAnsiTheme="minorEastAsia" w:eastAsiaTheme="minorEastAsia"/>
          <w:sz w:val="24"/>
          <w:szCs w:val="24"/>
        </w:rPr>
      </w:pPr>
      <w:bookmarkStart w:id="4" w:name="_Toc226824214"/>
      <w:r>
        <w:rPr>
          <w:rFonts w:hint="eastAsia" w:asciiTheme="minorEastAsia" w:hAnsiTheme="minorEastAsia" w:eastAsiaTheme="minorEastAsia"/>
          <w:sz w:val="24"/>
          <w:szCs w:val="24"/>
        </w:rPr>
        <w:t>2.1</w:t>
      </w:r>
      <w:r>
        <w:rPr>
          <w:rFonts w:asciiTheme="minorEastAsia" w:hAnsiTheme="minorEastAsia" w:eastAsiaTheme="minorEastAsia"/>
          <w:sz w:val="24"/>
          <w:szCs w:val="24"/>
        </w:rPr>
        <w:t xml:space="preserve">  KM1 </w:t>
      </w:r>
      <w:r>
        <w:rPr>
          <w:rFonts w:hint="eastAsia" w:asciiTheme="minorEastAsia" w:hAnsiTheme="minorEastAsia" w:eastAsiaTheme="minorEastAsia"/>
          <w:sz w:val="24"/>
          <w:szCs w:val="24"/>
        </w:rPr>
        <w:t>关键审慎监管指标</w:t>
      </w:r>
      <w:bookmarkEnd w:id="4"/>
    </w:p>
    <w:p>
      <w:pPr>
        <w:spacing w:line="360" w:lineRule="auto"/>
        <w:ind w:firstLine="480" w:firstLineChars="200"/>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关键审慎监管指标包括资本充足率、杠杆率以及流动性风险相关的指标。本公司关键审慎监管指标概览如下：</w:t>
      </w:r>
    </w:p>
    <w:p>
      <w:pPr>
        <w:spacing w:line="360" w:lineRule="auto"/>
        <w:ind w:firstLine="482" w:firstLineChars="200"/>
        <w:rPr>
          <w:rFonts w:cs="Times New Roman" w:asciiTheme="minorEastAsia" w:hAnsiTheme="minorEastAsia"/>
          <w:b/>
          <w:color w:val="000000"/>
          <w:sz w:val="24"/>
          <w:szCs w:val="24"/>
        </w:rPr>
      </w:pPr>
      <w:r>
        <w:rPr>
          <w:rFonts w:hint="eastAsia" w:cs="Times New Roman" w:asciiTheme="minorEastAsia" w:hAnsiTheme="minorEastAsia"/>
          <w:b/>
          <w:color w:val="000000"/>
          <w:sz w:val="24"/>
          <w:szCs w:val="24"/>
        </w:rPr>
        <w:t>表格KM1：监管并表关键审慎监管指标</w:t>
      </w:r>
    </w:p>
    <w:p>
      <w:pPr>
        <w:spacing w:line="360" w:lineRule="auto"/>
        <w:ind w:firstLine="480" w:firstLineChars="200"/>
        <w:jc w:val="right"/>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单位：人民币千元，百分比除外</w:t>
      </w:r>
    </w:p>
    <w:tbl>
      <w:tblPr>
        <w:tblStyle w:val="11"/>
        <w:tblW w:w="11169" w:type="dxa"/>
        <w:jc w:val="center"/>
        <w:tblLayout w:type="autofit"/>
        <w:tblCellMar>
          <w:top w:w="0" w:type="dxa"/>
          <w:left w:w="108" w:type="dxa"/>
          <w:bottom w:w="0" w:type="dxa"/>
          <w:right w:w="108" w:type="dxa"/>
        </w:tblCellMar>
      </w:tblPr>
      <w:tblGrid>
        <w:gridCol w:w="771"/>
        <w:gridCol w:w="2601"/>
        <w:gridCol w:w="1559"/>
        <w:gridCol w:w="1559"/>
        <w:gridCol w:w="1560"/>
        <w:gridCol w:w="1559"/>
        <w:gridCol w:w="1560"/>
      </w:tblGrid>
      <w:tr>
        <w:tblPrEx>
          <w:tblCellMar>
            <w:top w:w="0" w:type="dxa"/>
            <w:left w:w="108" w:type="dxa"/>
            <w:bottom w:w="0" w:type="dxa"/>
            <w:right w:w="108" w:type="dxa"/>
          </w:tblCellMar>
        </w:tblPrEx>
        <w:trPr>
          <w:trHeight w:val="270" w:hRule="atLeast"/>
          <w:tblHeader/>
          <w:jc w:val="center"/>
        </w:trPr>
        <w:tc>
          <w:tcPr>
            <w:tcW w:w="337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e</w:t>
            </w:r>
          </w:p>
        </w:tc>
      </w:tr>
      <w:tr>
        <w:tblPrEx>
          <w:tblCellMar>
            <w:top w:w="0" w:type="dxa"/>
            <w:left w:w="108" w:type="dxa"/>
            <w:bottom w:w="0" w:type="dxa"/>
            <w:right w:w="108" w:type="dxa"/>
          </w:tblCellMar>
        </w:tblPrEx>
        <w:trPr>
          <w:trHeight w:val="510" w:hRule="atLeast"/>
          <w:tblHeader/>
          <w:jc w:val="center"/>
        </w:trPr>
        <w:tc>
          <w:tcPr>
            <w:tcW w:w="337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2026年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3月31日</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2025年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12月31日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2025年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9月30日</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2025年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6月30日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2025年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3月31日</w:t>
            </w:r>
          </w:p>
        </w:tc>
      </w:tr>
      <w:tr>
        <w:tblPrEx>
          <w:tblCellMar>
            <w:top w:w="0" w:type="dxa"/>
            <w:left w:w="108" w:type="dxa"/>
            <w:bottom w:w="0" w:type="dxa"/>
            <w:right w:w="108" w:type="dxa"/>
          </w:tblCellMar>
        </w:tblPrEx>
        <w:trPr>
          <w:trHeight w:val="270" w:hRule="atLeast"/>
          <w:jc w:val="center"/>
        </w:trPr>
        <w:tc>
          <w:tcPr>
            <w:tcW w:w="11169" w:type="dxa"/>
            <w:gridSpan w:val="7"/>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可用资本（数额）</w:t>
            </w:r>
          </w:p>
        </w:tc>
      </w:tr>
      <w:tr>
        <w:tblPrEx>
          <w:tblCellMar>
            <w:top w:w="0" w:type="dxa"/>
            <w:left w:w="108" w:type="dxa"/>
            <w:bottom w:w="0" w:type="dxa"/>
            <w:right w:w="108" w:type="dxa"/>
          </w:tblCellMar>
        </w:tblPrEx>
        <w:trPr>
          <w:trHeight w:val="270" w:hRule="atLeast"/>
          <w:jc w:val="center"/>
        </w:trPr>
        <w:tc>
          <w:tcPr>
            <w:tcW w:w="7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核心一级资本净额</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20,489,972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19,997,554 </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20,176,035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20,197,108 </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19,716,447 </w:t>
            </w:r>
          </w:p>
        </w:tc>
      </w:tr>
      <w:tr>
        <w:tblPrEx>
          <w:tblCellMar>
            <w:top w:w="0" w:type="dxa"/>
            <w:left w:w="108" w:type="dxa"/>
            <w:bottom w:w="0" w:type="dxa"/>
            <w:right w:w="108" w:type="dxa"/>
          </w:tblCellMar>
        </w:tblPrEx>
        <w:trPr>
          <w:trHeight w:val="270" w:hRule="atLeast"/>
          <w:jc w:val="center"/>
        </w:trPr>
        <w:tc>
          <w:tcPr>
            <w:tcW w:w="7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一级资本净额</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20,489,972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19,997,554 </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20,176,035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20,197,108 </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19,716,447 </w:t>
            </w:r>
          </w:p>
        </w:tc>
      </w:tr>
      <w:tr>
        <w:tblPrEx>
          <w:tblCellMar>
            <w:top w:w="0" w:type="dxa"/>
            <w:left w:w="108" w:type="dxa"/>
            <w:bottom w:w="0" w:type="dxa"/>
            <w:right w:w="108" w:type="dxa"/>
          </w:tblCellMar>
        </w:tblPrEx>
        <w:trPr>
          <w:trHeight w:val="270" w:hRule="atLeast"/>
          <w:jc w:val="center"/>
        </w:trPr>
        <w:tc>
          <w:tcPr>
            <w:tcW w:w="7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资本净额</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24,705,617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24,109,000 </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23,334,854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24,256,581 </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23,823,740 </w:t>
            </w:r>
          </w:p>
        </w:tc>
      </w:tr>
      <w:tr>
        <w:tblPrEx>
          <w:tblCellMar>
            <w:top w:w="0" w:type="dxa"/>
            <w:left w:w="108" w:type="dxa"/>
            <w:bottom w:w="0" w:type="dxa"/>
            <w:right w:w="108" w:type="dxa"/>
          </w:tblCellMar>
        </w:tblPrEx>
        <w:trPr>
          <w:trHeight w:val="270" w:hRule="atLeast"/>
          <w:jc w:val="center"/>
        </w:trPr>
        <w:tc>
          <w:tcPr>
            <w:tcW w:w="11169" w:type="dxa"/>
            <w:gridSpan w:val="7"/>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风险加权资产（数额）</w:t>
            </w:r>
          </w:p>
        </w:tc>
      </w:tr>
      <w:tr>
        <w:tblPrEx>
          <w:tblCellMar>
            <w:top w:w="0" w:type="dxa"/>
            <w:left w:w="108" w:type="dxa"/>
            <w:bottom w:w="0" w:type="dxa"/>
            <w:right w:w="108" w:type="dxa"/>
          </w:tblCellMar>
        </w:tblPrEx>
        <w:trPr>
          <w:trHeight w:val="270" w:hRule="atLeast"/>
          <w:jc w:val="center"/>
        </w:trPr>
        <w:tc>
          <w:tcPr>
            <w:tcW w:w="7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风险加权资产</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193,518,825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188,269,592 </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186,459,862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183,812,984 </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187,787,508 </w:t>
            </w:r>
          </w:p>
        </w:tc>
      </w:tr>
      <w:tr>
        <w:tblPrEx>
          <w:tblCellMar>
            <w:top w:w="0" w:type="dxa"/>
            <w:left w:w="108" w:type="dxa"/>
            <w:bottom w:w="0" w:type="dxa"/>
            <w:right w:w="108" w:type="dxa"/>
          </w:tblCellMar>
        </w:tblPrEx>
        <w:trPr>
          <w:trHeight w:val="270" w:hRule="atLeast"/>
          <w:jc w:val="center"/>
        </w:trPr>
        <w:tc>
          <w:tcPr>
            <w:tcW w:w="11169" w:type="dxa"/>
            <w:gridSpan w:val="7"/>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资本充足率</w:t>
            </w:r>
          </w:p>
        </w:tc>
      </w:tr>
      <w:tr>
        <w:tblPrEx>
          <w:tblCellMar>
            <w:top w:w="0" w:type="dxa"/>
            <w:left w:w="108" w:type="dxa"/>
            <w:bottom w:w="0" w:type="dxa"/>
            <w:right w:w="108" w:type="dxa"/>
          </w:tblCellMar>
        </w:tblPrEx>
        <w:trPr>
          <w:trHeight w:val="270" w:hRule="atLeast"/>
          <w:jc w:val="center"/>
        </w:trPr>
        <w:tc>
          <w:tcPr>
            <w:tcW w:w="7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2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核心一级资本充足率（%）</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10.59</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10.62</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10.82</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10.99</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10.50</w:t>
            </w:r>
          </w:p>
        </w:tc>
      </w:tr>
      <w:tr>
        <w:tblPrEx>
          <w:tblCellMar>
            <w:top w:w="0" w:type="dxa"/>
            <w:left w:w="108" w:type="dxa"/>
            <w:bottom w:w="0" w:type="dxa"/>
            <w:right w:w="108" w:type="dxa"/>
          </w:tblCellMar>
        </w:tblPrEx>
        <w:trPr>
          <w:trHeight w:val="270" w:hRule="atLeast"/>
          <w:jc w:val="center"/>
        </w:trPr>
        <w:tc>
          <w:tcPr>
            <w:tcW w:w="7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2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一级资本充足率（%）</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10.59</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10.62</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10.82</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10.99</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10.50</w:t>
            </w:r>
          </w:p>
        </w:tc>
      </w:tr>
      <w:tr>
        <w:tblPrEx>
          <w:tblCellMar>
            <w:top w:w="0" w:type="dxa"/>
            <w:left w:w="108" w:type="dxa"/>
            <w:bottom w:w="0" w:type="dxa"/>
            <w:right w:w="108" w:type="dxa"/>
          </w:tblCellMar>
        </w:tblPrEx>
        <w:trPr>
          <w:trHeight w:val="270" w:hRule="atLeast"/>
          <w:jc w:val="center"/>
        </w:trPr>
        <w:tc>
          <w:tcPr>
            <w:tcW w:w="7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2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资本充足率（%）</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12.77</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12.81</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12.51</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13.20</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12.69</w:t>
            </w:r>
          </w:p>
        </w:tc>
      </w:tr>
      <w:tr>
        <w:tblPrEx>
          <w:tblCellMar>
            <w:top w:w="0" w:type="dxa"/>
            <w:left w:w="108" w:type="dxa"/>
            <w:bottom w:w="0" w:type="dxa"/>
            <w:right w:w="108" w:type="dxa"/>
          </w:tblCellMar>
        </w:tblPrEx>
        <w:trPr>
          <w:trHeight w:val="270" w:hRule="atLeast"/>
          <w:jc w:val="center"/>
        </w:trPr>
        <w:tc>
          <w:tcPr>
            <w:tcW w:w="11169" w:type="dxa"/>
            <w:gridSpan w:val="7"/>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其他各级资本要求</w:t>
            </w:r>
          </w:p>
        </w:tc>
      </w:tr>
      <w:tr>
        <w:tblPrEx>
          <w:tblCellMar>
            <w:top w:w="0" w:type="dxa"/>
            <w:left w:w="108" w:type="dxa"/>
            <w:bottom w:w="0" w:type="dxa"/>
            <w:right w:w="108" w:type="dxa"/>
          </w:tblCellMar>
        </w:tblPrEx>
        <w:trPr>
          <w:trHeight w:val="270" w:hRule="atLeast"/>
          <w:jc w:val="center"/>
        </w:trPr>
        <w:tc>
          <w:tcPr>
            <w:tcW w:w="7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2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储备资本要求（%）</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2.50</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2.50</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2.50</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2.50</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2.50</w:t>
            </w:r>
          </w:p>
        </w:tc>
      </w:tr>
      <w:tr>
        <w:tblPrEx>
          <w:tblCellMar>
            <w:top w:w="0" w:type="dxa"/>
            <w:left w:w="108" w:type="dxa"/>
            <w:bottom w:w="0" w:type="dxa"/>
            <w:right w:w="108" w:type="dxa"/>
          </w:tblCellMar>
        </w:tblPrEx>
        <w:trPr>
          <w:trHeight w:val="270" w:hRule="atLeast"/>
          <w:jc w:val="center"/>
        </w:trPr>
        <w:tc>
          <w:tcPr>
            <w:tcW w:w="7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2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逆周期资本要求（%）</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0.00</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0.00</w:t>
            </w:r>
          </w:p>
        </w:tc>
      </w:tr>
      <w:tr>
        <w:tblPrEx>
          <w:tblCellMar>
            <w:top w:w="0" w:type="dxa"/>
            <w:left w:w="108" w:type="dxa"/>
            <w:bottom w:w="0" w:type="dxa"/>
            <w:right w:w="108" w:type="dxa"/>
          </w:tblCellMar>
        </w:tblPrEx>
        <w:trPr>
          <w:trHeight w:val="510" w:hRule="atLeast"/>
          <w:jc w:val="center"/>
        </w:trPr>
        <w:tc>
          <w:tcPr>
            <w:tcW w:w="7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2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全球系统重要性银行或国内系统重要性银行附加资本要求（%）</w:t>
            </w:r>
          </w:p>
        </w:tc>
        <w:tc>
          <w:tcPr>
            <w:tcW w:w="1559" w:type="dxa"/>
            <w:tcBorders>
              <w:top w:val="nil"/>
              <w:left w:val="nil"/>
              <w:bottom w:val="single" w:color="auto" w:sz="4" w:space="0"/>
              <w:right w:val="single" w:color="auto" w:sz="4" w:space="0"/>
            </w:tcBorders>
            <w:shd w:val="clear" w:color="000000" w:fill="E7E6E6"/>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4" w:space="0"/>
              <w:right w:val="single" w:color="auto" w:sz="4" w:space="0"/>
            </w:tcBorders>
            <w:shd w:val="clear" w:color="000000" w:fill="E7E6E6"/>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560" w:type="dxa"/>
            <w:tcBorders>
              <w:top w:val="nil"/>
              <w:left w:val="nil"/>
              <w:bottom w:val="single" w:color="auto" w:sz="4" w:space="0"/>
              <w:right w:val="single" w:color="auto" w:sz="4" w:space="0"/>
            </w:tcBorders>
            <w:shd w:val="clear" w:color="000000" w:fill="E7E6E6"/>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4" w:space="0"/>
              <w:right w:val="single" w:color="auto" w:sz="4" w:space="0"/>
            </w:tcBorders>
            <w:shd w:val="clear" w:color="000000" w:fill="E7E6E6"/>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560" w:type="dxa"/>
            <w:tcBorders>
              <w:top w:val="nil"/>
              <w:left w:val="nil"/>
              <w:bottom w:val="single" w:color="auto" w:sz="4" w:space="0"/>
              <w:right w:val="single" w:color="auto" w:sz="4" w:space="0"/>
            </w:tcBorders>
            <w:shd w:val="clear" w:color="000000" w:fill="E7E6E6"/>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7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2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其他各级资本要求（%）（8+9+10）</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2.50</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2.50</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2.50</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2.50</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2.50</w:t>
            </w:r>
          </w:p>
        </w:tc>
      </w:tr>
      <w:tr>
        <w:tblPrEx>
          <w:tblCellMar>
            <w:top w:w="0" w:type="dxa"/>
            <w:left w:w="108" w:type="dxa"/>
            <w:bottom w:w="0" w:type="dxa"/>
            <w:right w:w="108" w:type="dxa"/>
          </w:tblCellMar>
        </w:tblPrEx>
        <w:trPr>
          <w:trHeight w:val="765" w:hRule="atLeast"/>
          <w:jc w:val="center"/>
        </w:trPr>
        <w:tc>
          <w:tcPr>
            <w:tcW w:w="7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2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满足最低资本要求后的可用核心一级资本净额占风险加权资产的比例（%）</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4.59</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4.62</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4.51</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4.99</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4.50</w:t>
            </w:r>
          </w:p>
        </w:tc>
      </w:tr>
      <w:tr>
        <w:tblPrEx>
          <w:tblCellMar>
            <w:top w:w="0" w:type="dxa"/>
            <w:left w:w="108" w:type="dxa"/>
            <w:bottom w:w="0" w:type="dxa"/>
            <w:right w:w="108" w:type="dxa"/>
          </w:tblCellMar>
        </w:tblPrEx>
        <w:trPr>
          <w:trHeight w:val="270" w:hRule="atLeast"/>
          <w:jc w:val="center"/>
        </w:trPr>
        <w:tc>
          <w:tcPr>
            <w:tcW w:w="11169" w:type="dxa"/>
            <w:gridSpan w:val="7"/>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杠杆率</w:t>
            </w:r>
          </w:p>
        </w:tc>
      </w:tr>
      <w:tr>
        <w:tblPrEx>
          <w:tblCellMar>
            <w:top w:w="0" w:type="dxa"/>
            <w:left w:w="108" w:type="dxa"/>
            <w:bottom w:w="0" w:type="dxa"/>
            <w:right w:w="108" w:type="dxa"/>
          </w:tblCellMar>
        </w:tblPrEx>
        <w:trPr>
          <w:trHeight w:val="270" w:hRule="atLeast"/>
          <w:jc w:val="center"/>
        </w:trPr>
        <w:tc>
          <w:tcPr>
            <w:tcW w:w="7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2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调整后表内外资产余额</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317,983,564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316,697,881 </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309,599,786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292,633,892 </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307,352,280 </w:t>
            </w:r>
          </w:p>
        </w:tc>
      </w:tr>
      <w:tr>
        <w:tblPrEx>
          <w:tblCellMar>
            <w:top w:w="0" w:type="dxa"/>
            <w:left w:w="108" w:type="dxa"/>
            <w:bottom w:w="0" w:type="dxa"/>
            <w:right w:w="108" w:type="dxa"/>
          </w:tblCellMar>
        </w:tblPrEx>
        <w:trPr>
          <w:trHeight w:val="270" w:hRule="atLeast"/>
          <w:jc w:val="center"/>
        </w:trPr>
        <w:tc>
          <w:tcPr>
            <w:tcW w:w="7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2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杠杆率（%）</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6.44</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6.31</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6.52</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6.90</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6.41</w:t>
            </w:r>
          </w:p>
        </w:tc>
      </w:tr>
      <w:tr>
        <w:tblPrEx>
          <w:tblCellMar>
            <w:top w:w="0" w:type="dxa"/>
            <w:left w:w="108" w:type="dxa"/>
            <w:bottom w:w="0" w:type="dxa"/>
            <w:right w:w="108" w:type="dxa"/>
          </w:tblCellMar>
        </w:tblPrEx>
        <w:trPr>
          <w:trHeight w:val="270" w:hRule="atLeast"/>
          <w:jc w:val="center"/>
        </w:trPr>
        <w:tc>
          <w:tcPr>
            <w:tcW w:w="7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14a</w:t>
            </w:r>
          </w:p>
        </w:tc>
        <w:tc>
          <w:tcPr>
            <w:tcW w:w="2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杠杆率a（%）</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6.44</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6.31</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6.52</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6.90</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6.41</w:t>
            </w:r>
          </w:p>
        </w:tc>
      </w:tr>
      <w:tr>
        <w:tblPrEx>
          <w:tblCellMar>
            <w:top w:w="0" w:type="dxa"/>
            <w:left w:w="108" w:type="dxa"/>
            <w:bottom w:w="0" w:type="dxa"/>
            <w:right w:w="108" w:type="dxa"/>
          </w:tblCellMar>
        </w:tblPrEx>
        <w:trPr>
          <w:trHeight w:val="270" w:hRule="atLeast"/>
          <w:jc w:val="center"/>
        </w:trPr>
        <w:tc>
          <w:tcPr>
            <w:tcW w:w="11169" w:type="dxa"/>
            <w:gridSpan w:val="7"/>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流动性覆盖率</w:t>
            </w:r>
          </w:p>
        </w:tc>
      </w:tr>
      <w:tr>
        <w:tblPrEx>
          <w:tblCellMar>
            <w:top w:w="0" w:type="dxa"/>
            <w:left w:w="108" w:type="dxa"/>
            <w:bottom w:w="0" w:type="dxa"/>
            <w:right w:w="108" w:type="dxa"/>
          </w:tblCellMar>
        </w:tblPrEx>
        <w:trPr>
          <w:trHeight w:val="270" w:hRule="atLeast"/>
          <w:jc w:val="center"/>
        </w:trPr>
        <w:tc>
          <w:tcPr>
            <w:tcW w:w="7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2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合格优质流动性资产</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22,667,737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26,544,718 </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22,922,237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26,267,147 </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38,244,628 </w:t>
            </w:r>
          </w:p>
        </w:tc>
      </w:tr>
      <w:tr>
        <w:tblPrEx>
          <w:tblCellMar>
            <w:top w:w="0" w:type="dxa"/>
            <w:left w:w="108" w:type="dxa"/>
            <w:bottom w:w="0" w:type="dxa"/>
            <w:right w:w="108" w:type="dxa"/>
          </w:tblCellMar>
        </w:tblPrEx>
        <w:trPr>
          <w:trHeight w:val="270" w:hRule="atLeast"/>
          <w:jc w:val="center"/>
        </w:trPr>
        <w:tc>
          <w:tcPr>
            <w:tcW w:w="7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现金净流出量</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16,752,458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20,584,624 </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14,899,647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19,639,668 </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32,025,372 </w:t>
            </w:r>
          </w:p>
        </w:tc>
      </w:tr>
      <w:tr>
        <w:tblPrEx>
          <w:tblCellMar>
            <w:top w:w="0" w:type="dxa"/>
            <w:left w:w="108" w:type="dxa"/>
            <w:bottom w:w="0" w:type="dxa"/>
            <w:right w:w="108" w:type="dxa"/>
          </w:tblCellMar>
        </w:tblPrEx>
        <w:trPr>
          <w:trHeight w:val="270" w:hRule="atLeast"/>
          <w:jc w:val="center"/>
        </w:trPr>
        <w:tc>
          <w:tcPr>
            <w:tcW w:w="7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2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流动性覆盖率（%）</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135.31</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128.95</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153.84</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133.75</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119.42</w:t>
            </w:r>
          </w:p>
        </w:tc>
      </w:tr>
      <w:tr>
        <w:tblPrEx>
          <w:tblCellMar>
            <w:top w:w="0" w:type="dxa"/>
            <w:left w:w="108" w:type="dxa"/>
            <w:bottom w:w="0" w:type="dxa"/>
            <w:right w:w="108" w:type="dxa"/>
          </w:tblCellMar>
        </w:tblPrEx>
        <w:trPr>
          <w:trHeight w:val="270" w:hRule="atLeast"/>
          <w:jc w:val="center"/>
        </w:trPr>
        <w:tc>
          <w:tcPr>
            <w:tcW w:w="11169" w:type="dxa"/>
            <w:gridSpan w:val="7"/>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净稳定资金比例</w:t>
            </w:r>
          </w:p>
        </w:tc>
      </w:tr>
      <w:tr>
        <w:tblPrEx>
          <w:tblCellMar>
            <w:top w:w="0" w:type="dxa"/>
            <w:left w:w="108" w:type="dxa"/>
            <w:bottom w:w="0" w:type="dxa"/>
            <w:right w:w="108" w:type="dxa"/>
          </w:tblCellMar>
        </w:tblPrEx>
        <w:trPr>
          <w:trHeight w:val="270" w:hRule="atLeast"/>
          <w:jc w:val="center"/>
        </w:trPr>
        <w:tc>
          <w:tcPr>
            <w:tcW w:w="7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2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可用稳定资金合计</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212,778,659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208,758,670 </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203,518,090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197,495,053 </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204,044,797 </w:t>
            </w:r>
          </w:p>
        </w:tc>
      </w:tr>
      <w:tr>
        <w:tblPrEx>
          <w:tblCellMar>
            <w:top w:w="0" w:type="dxa"/>
            <w:left w:w="108" w:type="dxa"/>
            <w:bottom w:w="0" w:type="dxa"/>
            <w:right w:w="108" w:type="dxa"/>
          </w:tblCellMar>
        </w:tblPrEx>
        <w:trPr>
          <w:trHeight w:val="270" w:hRule="atLeast"/>
          <w:jc w:val="center"/>
        </w:trPr>
        <w:tc>
          <w:tcPr>
            <w:tcW w:w="7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2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所需稳定资金合计</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156,978,045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156,040,444 </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151,534,481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148,322,097 </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151,934,087 </w:t>
            </w:r>
          </w:p>
        </w:tc>
      </w:tr>
      <w:tr>
        <w:tblPrEx>
          <w:tblCellMar>
            <w:top w:w="0" w:type="dxa"/>
            <w:left w:w="108" w:type="dxa"/>
            <w:bottom w:w="0" w:type="dxa"/>
            <w:right w:w="108" w:type="dxa"/>
          </w:tblCellMar>
        </w:tblPrEx>
        <w:trPr>
          <w:trHeight w:val="270" w:hRule="atLeast"/>
          <w:jc w:val="center"/>
        </w:trPr>
        <w:tc>
          <w:tcPr>
            <w:tcW w:w="7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26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净稳定资金比例（%）</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135.55</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133.78</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134.30</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133.15</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134.30</w:t>
            </w:r>
          </w:p>
        </w:tc>
      </w:tr>
      <w:tr>
        <w:tblPrEx>
          <w:tblCellMar>
            <w:top w:w="0" w:type="dxa"/>
            <w:left w:w="108" w:type="dxa"/>
            <w:bottom w:w="0" w:type="dxa"/>
            <w:right w:w="108" w:type="dxa"/>
          </w:tblCellMar>
        </w:tblPrEx>
        <w:trPr>
          <w:trHeight w:val="270" w:hRule="atLeast"/>
          <w:jc w:val="center"/>
        </w:trPr>
        <w:tc>
          <w:tcPr>
            <w:tcW w:w="11169" w:type="dxa"/>
            <w:gridSpan w:val="7"/>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流动性比例</w:t>
            </w:r>
          </w:p>
        </w:tc>
      </w:tr>
      <w:tr>
        <w:tblPrEx>
          <w:tblCellMar>
            <w:top w:w="0" w:type="dxa"/>
            <w:left w:w="108" w:type="dxa"/>
            <w:bottom w:w="0" w:type="dxa"/>
            <w:right w:w="108" w:type="dxa"/>
          </w:tblCellMar>
        </w:tblPrEx>
        <w:trPr>
          <w:trHeight w:val="270" w:hRule="atLeast"/>
          <w:jc w:val="center"/>
        </w:trPr>
        <w:tc>
          <w:tcPr>
            <w:tcW w:w="77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260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流动性比例（%）</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84.14</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87.48</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74.67</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86.31</w:t>
            </w:r>
          </w:p>
        </w:tc>
        <w:tc>
          <w:tcPr>
            <w:tcW w:w="15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73.59</w:t>
            </w:r>
          </w:p>
        </w:tc>
      </w:tr>
    </w:tbl>
    <w:p>
      <w:pPr>
        <w:pStyle w:val="3"/>
        <w:spacing w:before="0" w:after="0" w:line="360" w:lineRule="auto"/>
        <w:rPr>
          <w:rFonts w:asciiTheme="minorEastAsia" w:hAnsiTheme="minorEastAsia" w:eastAsiaTheme="minorEastAsia"/>
          <w:sz w:val="24"/>
          <w:szCs w:val="24"/>
        </w:rPr>
      </w:pPr>
      <w:bookmarkStart w:id="5" w:name="_Toc226824215"/>
      <w:r>
        <w:rPr>
          <w:rFonts w:hint="eastAsia" w:asciiTheme="minorEastAsia" w:hAnsiTheme="minorEastAsia" w:eastAsiaTheme="minorEastAsia"/>
          <w:sz w:val="24"/>
          <w:szCs w:val="24"/>
        </w:rPr>
        <w:t>2.2</w:t>
      </w:r>
      <w:r>
        <w:rPr>
          <w:rFonts w:asciiTheme="minorEastAsia" w:hAnsiTheme="minorEastAsia" w:eastAsiaTheme="minorEastAsia"/>
          <w:sz w:val="24"/>
          <w:szCs w:val="24"/>
        </w:rPr>
        <w:t xml:space="preserve">  </w:t>
      </w:r>
      <w:r>
        <w:rPr>
          <w:rFonts w:hint="eastAsia" w:cs="Times New Roman" w:asciiTheme="minorEastAsia" w:hAnsiTheme="minorEastAsia"/>
          <w:color w:val="000000"/>
          <w:sz w:val="24"/>
          <w:szCs w:val="24"/>
        </w:rPr>
        <w:t xml:space="preserve">OV1 </w:t>
      </w:r>
      <w:r>
        <w:rPr>
          <w:rFonts w:hint="eastAsia" w:asciiTheme="minorEastAsia" w:hAnsiTheme="minorEastAsia" w:eastAsiaTheme="minorEastAsia"/>
          <w:sz w:val="24"/>
          <w:szCs w:val="24"/>
        </w:rPr>
        <w:t>风险加权资产概况</w:t>
      </w:r>
      <w:bookmarkEnd w:id="5"/>
    </w:p>
    <w:p>
      <w:pPr>
        <w:spacing w:line="360" w:lineRule="auto"/>
        <w:ind w:firstLine="480" w:firstLineChars="200"/>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下表列示本公司第一支柱风险加权资产和资本要求。</w:t>
      </w:r>
    </w:p>
    <w:p>
      <w:pPr>
        <w:spacing w:line="360" w:lineRule="auto"/>
        <w:ind w:firstLine="482" w:firstLineChars="200"/>
        <w:rPr>
          <w:rFonts w:cs="Times New Roman" w:asciiTheme="minorEastAsia" w:hAnsiTheme="minorEastAsia"/>
          <w:b/>
          <w:color w:val="000000"/>
          <w:sz w:val="24"/>
          <w:szCs w:val="24"/>
        </w:rPr>
      </w:pPr>
      <w:r>
        <w:rPr>
          <w:rFonts w:hint="eastAsia" w:cs="Times New Roman" w:asciiTheme="minorEastAsia" w:hAnsiTheme="minorEastAsia"/>
          <w:b/>
          <w:color w:val="000000"/>
          <w:sz w:val="24"/>
          <w:szCs w:val="24"/>
        </w:rPr>
        <w:t>表格OV1：风险加权资产概况</w:t>
      </w:r>
    </w:p>
    <w:p>
      <w:pPr>
        <w:spacing w:line="360" w:lineRule="auto"/>
        <w:ind w:firstLine="480" w:firstLineChars="200"/>
        <w:jc w:val="right"/>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单位：人民币千元</w:t>
      </w:r>
    </w:p>
    <w:tbl>
      <w:tblPr>
        <w:tblStyle w:val="11"/>
        <w:tblW w:w="10300" w:type="dxa"/>
        <w:jc w:val="center"/>
        <w:tblLayout w:type="autofit"/>
        <w:tblCellMar>
          <w:top w:w="0" w:type="dxa"/>
          <w:left w:w="108" w:type="dxa"/>
          <w:bottom w:w="0" w:type="dxa"/>
          <w:right w:w="108" w:type="dxa"/>
        </w:tblCellMar>
      </w:tblPr>
      <w:tblGrid>
        <w:gridCol w:w="1080"/>
        <w:gridCol w:w="4060"/>
        <w:gridCol w:w="1720"/>
        <w:gridCol w:w="1720"/>
        <w:gridCol w:w="1720"/>
      </w:tblGrid>
      <w:tr>
        <w:tblPrEx>
          <w:tblCellMar>
            <w:top w:w="0" w:type="dxa"/>
            <w:left w:w="108" w:type="dxa"/>
            <w:bottom w:w="0" w:type="dxa"/>
            <w:right w:w="108" w:type="dxa"/>
          </w:tblCellMar>
        </w:tblPrEx>
        <w:trPr>
          <w:trHeight w:val="270" w:hRule="atLeast"/>
          <w:jc w:val="center"/>
        </w:trPr>
        <w:tc>
          <w:tcPr>
            <w:tcW w:w="514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r>
      <w:tr>
        <w:tblPrEx>
          <w:tblCellMar>
            <w:top w:w="0" w:type="dxa"/>
            <w:left w:w="108" w:type="dxa"/>
            <w:bottom w:w="0" w:type="dxa"/>
            <w:right w:w="108" w:type="dxa"/>
          </w:tblCellMar>
        </w:tblPrEx>
        <w:trPr>
          <w:trHeight w:val="270" w:hRule="atLeast"/>
          <w:jc w:val="center"/>
        </w:trPr>
        <w:tc>
          <w:tcPr>
            <w:tcW w:w="5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34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风险加权资产</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最低资本要求</w:t>
            </w:r>
          </w:p>
        </w:tc>
      </w:tr>
      <w:tr>
        <w:tblPrEx>
          <w:tblCellMar>
            <w:top w:w="0" w:type="dxa"/>
            <w:left w:w="108" w:type="dxa"/>
            <w:bottom w:w="0" w:type="dxa"/>
            <w:right w:w="108" w:type="dxa"/>
          </w:tblCellMar>
        </w:tblPrEx>
        <w:trPr>
          <w:trHeight w:val="510" w:hRule="atLeast"/>
          <w:jc w:val="center"/>
        </w:trPr>
        <w:tc>
          <w:tcPr>
            <w:tcW w:w="5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2026年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3月31日</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2025年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12月31日</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2026年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3月31日</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信用风险</w:t>
            </w:r>
          </w:p>
        </w:tc>
        <w:tc>
          <w:tcPr>
            <w:tcW w:w="1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185,309,960 </w:t>
            </w:r>
          </w:p>
        </w:tc>
        <w:tc>
          <w:tcPr>
            <w:tcW w:w="1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180,828,187 </w:t>
            </w:r>
          </w:p>
        </w:tc>
        <w:tc>
          <w:tcPr>
            <w:tcW w:w="1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14,824,797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市场风险</w:t>
            </w:r>
          </w:p>
        </w:tc>
        <w:tc>
          <w:tcPr>
            <w:tcW w:w="1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806,416 </w:t>
            </w:r>
          </w:p>
        </w:tc>
        <w:tc>
          <w:tcPr>
            <w:tcW w:w="1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38,956 </w:t>
            </w:r>
          </w:p>
        </w:tc>
        <w:tc>
          <w:tcPr>
            <w:tcW w:w="1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64,513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操作风险</w:t>
            </w:r>
          </w:p>
        </w:tc>
        <w:tc>
          <w:tcPr>
            <w:tcW w:w="1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7,402,449 </w:t>
            </w:r>
          </w:p>
        </w:tc>
        <w:tc>
          <w:tcPr>
            <w:tcW w:w="1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7,402,449 </w:t>
            </w:r>
          </w:p>
        </w:tc>
        <w:tc>
          <w:tcPr>
            <w:tcW w:w="1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592,196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交易账簿和银行账簿间转换的资本要求</w:t>
            </w:r>
          </w:p>
        </w:tc>
        <w:tc>
          <w:tcPr>
            <w:tcW w:w="1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1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1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0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合计</w:t>
            </w:r>
          </w:p>
        </w:tc>
        <w:tc>
          <w:tcPr>
            <w:tcW w:w="1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193,518,825 </w:t>
            </w:r>
          </w:p>
        </w:tc>
        <w:tc>
          <w:tcPr>
            <w:tcW w:w="1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188,269,592 </w:t>
            </w:r>
          </w:p>
        </w:tc>
        <w:tc>
          <w:tcPr>
            <w:tcW w:w="17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15,481,506 </w:t>
            </w:r>
          </w:p>
        </w:tc>
      </w:tr>
    </w:tbl>
    <w:p>
      <w:pPr>
        <w:spacing w:line="360" w:lineRule="auto"/>
        <w:jc w:val="left"/>
        <w:rPr>
          <w:rFonts w:cs="Times New Roman" w:asciiTheme="minorEastAsia" w:hAnsiTheme="minorEastAsia"/>
          <w:color w:val="000000"/>
          <w:sz w:val="24"/>
          <w:szCs w:val="24"/>
        </w:rPr>
      </w:pPr>
    </w:p>
    <w:p>
      <w:pPr>
        <w:spacing w:line="360" w:lineRule="auto"/>
        <w:jc w:val="left"/>
        <w:rPr>
          <w:rFonts w:cs="Times New Roman" w:asciiTheme="minorEastAsia" w:hAnsiTheme="minorEastAsia"/>
          <w:color w:val="000000"/>
          <w:sz w:val="24"/>
          <w:szCs w:val="24"/>
        </w:rPr>
      </w:pPr>
    </w:p>
    <w:p>
      <w:pPr>
        <w:spacing w:line="360" w:lineRule="auto"/>
        <w:jc w:val="left"/>
        <w:rPr>
          <w:rFonts w:cs="Times New Roman" w:asciiTheme="minorEastAsia" w:hAnsiTheme="minorEastAsia"/>
          <w:color w:val="000000"/>
          <w:sz w:val="24"/>
          <w:szCs w:val="24"/>
        </w:rPr>
      </w:pPr>
    </w:p>
    <w:p>
      <w:pPr>
        <w:spacing w:line="360" w:lineRule="auto"/>
        <w:jc w:val="left"/>
        <w:rPr>
          <w:rFonts w:cs="Times New Roman" w:asciiTheme="minorEastAsia" w:hAnsiTheme="minorEastAsia"/>
          <w:color w:val="000000"/>
          <w:sz w:val="24"/>
          <w:szCs w:val="24"/>
        </w:rPr>
      </w:pPr>
    </w:p>
    <w:p>
      <w:pPr>
        <w:spacing w:line="360" w:lineRule="auto"/>
        <w:jc w:val="left"/>
        <w:rPr>
          <w:rFonts w:cs="Times New Roman" w:asciiTheme="minorEastAsia" w:hAnsiTheme="minorEastAsia"/>
          <w:color w:val="000000"/>
          <w:sz w:val="24"/>
          <w:szCs w:val="24"/>
        </w:rPr>
      </w:pPr>
    </w:p>
    <w:p>
      <w:pPr>
        <w:spacing w:line="360" w:lineRule="auto"/>
        <w:jc w:val="left"/>
        <w:rPr>
          <w:rFonts w:cs="Times New Roman" w:asciiTheme="minorEastAsia" w:hAnsiTheme="minorEastAsia"/>
          <w:color w:val="000000"/>
          <w:sz w:val="24"/>
          <w:szCs w:val="24"/>
        </w:rPr>
      </w:pPr>
    </w:p>
    <w:p>
      <w:pPr>
        <w:spacing w:line="360" w:lineRule="auto"/>
        <w:jc w:val="left"/>
        <w:rPr>
          <w:rFonts w:cs="Times New Roman" w:asciiTheme="minorEastAsia" w:hAnsiTheme="minorEastAsia"/>
          <w:color w:val="000000"/>
          <w:sz w:val="24"/>
          <w:szCs w:val="24"/>
        </w:rPr>
      </w:pPr>
    </w:p>
    <w:p>
      <w:pPr>
        <w:spacing w:line="360" w:lineRule="auto"/>
        <w:jc w:val="left"/>
        <w:rPr>
          <w:rFonts w:cs="Times New Roman" w:asciiTheme="minorEastAsia" w:hAnsiTheme="minorEastAsia"/>
          <w:color w:val="000000"/>
          <w:sz w:val="24"/>
          <w:szCs w:val="24"/>
        </w:rPr>
      </w:pPr>
    </w:p>
    <w:p>
      <w:pPr>
        <w:spacing w:line="360" w:lineRule="auto"/>
        <w:jc w:val="left"/>
        <w:rPr>
          <w:rFonts w:cs="Times New Roman" w:asciiTheme="minorEastAsia" w:hAnsiTheme="minorEastAsia"/>
          <w:color w:val="000000"/>
          <w:sz w:val="24"/>
          <w:szCs w:val="24"/>
        </w:rPr>
      </w:pPr>
    </w:p>
    <w:p>
      <w:pPr>
        <w:spacing w:line="360" w:lineRule="auto"/>
        <w:jc w:val="left"/>
        <w:rPr>
          <w:rFonts w:cs="Times New Roman" w:asciiTheme="minorEastAsia" w:hAnsiTheme="minorEastAsia"/>
          <w:color w:val="000000"/>
          <w:sz w:val="24"/>
          <w:szCs w:val="24"/>
        </w:rPr>
      </w:pPr>
    </w:p>
    <w:p>
      <w:pPr>
        <w:spacing w:line="360" w:lineRule="auto"/>
        <w:jc w:val="left"/>
        <w:rPr>
          <w:rFonts w:cs="Times New Roman" w:asciiTheme="minorEastAsia" w:hAnsiTheme="minorEastAsia"/>
          <w:color w:val="000000"/>
          <w:sz w:val="24"/>
          <w:szCs w:val="24"/>
        </w:rPr>
      </w:pPr>
    </w:p>
    <w:p>
      <w:pPr>
        <w:spacing w:line="360" w:lineRule="auto"/>
        <w:jc w:val="left"/>
        <w:rPr>
          <w:rFonts w:cs="Times New Roman" w:asciiTheme="minorEastAsia" w:hAnsiTheme="minorEastAsia"/>
          <w:color w:val="000000"/>
          <w:sz w:val="24"/>
          <w:szCs w:val="24"/>
        </w:rPr>
      </w:pPr>
    </w:p>
    <w:p>
      <w:pPr>
        <w:spacing w:line="360" w:lineRule="auto"/>
        <w:jc w:val="left"/>
        <w:rPr>
          <w:rFonts w:cs="Times New Roman" w:asciiTheme="minorEastAsia" w:hAnsiTheme="minorEastAsia"/>
          <w:color w:val="000000"/>
          <w:sz w:val="24"/>
          <w:szCs w:val="24"/>
        </w:rPr>
      </w:pPr>
    </w:p>
    <w:p>
      <w:pPr>
        <w:spacing w:line="360" w:lineRule="auto"/>
        <w:jc w:val="left"/>
        <w:rPr>
          <w:rFonts w:cs="Times New Roman" w:asciiTheme="minorEastAsia" w:hAnsiTheme="minorEastAsia"/>
          <w:color w:val="000000"/>
          <w:sz w:val="24"/>
          <w:szCs w:val="24"/>
        </w:rPr>
      </w:pPr>
    </w:p>
    <w:p>
      <w:pPr>
        <w:spacing w:line="360" w:lineRule="auto"/>
        <w:jc w:val="left"/>
        <w:rPr>
          <w:rFonts w:cs="Times New Roman" w:asciiTheme="minorEastAsia" w:hAnsiTheme="minorEastAsia"/>
          <w:color w:val="000000"/>
          <w:sz w:val="24"/>
          <w:szCs w:val="24"/>
        </w:rPr>
      </w:pPr>
    </w:p>
    <w:p>
      <w:pPr>
        <w:pStyle w:val="2"/>
        <w:spacing w:before="0" w:after="0" w:line="360" w:lineRule="auto"/>
        <w:rPr>
          <w:rFonts w:asciiTheme="minorEastAsia" w:hAnsiTheme="minorEastAsia"/>
          <w:sz w:val="28"/>
          <w:szCs w:val="24"/>
        </w:rPr>
      </w:pPr>
      <w:bookmarkStart w:id="6" w:name="_Toc226824216"/>
      <w:r>
        <w:rPr>
          <w:rFonts w:asciiTheme="minorEastAsia" w:hAnsiTheme="minorEastAsia"/>
          <w:sz w:val="28"/>
          <w:szCs w:val="24"/>
        </w:rPr>
        <w:t xml:space="preserve">3  </w:t>
      </w:r>
      <w:r>
        <w:rPr>
          <w:rFonts w:hint="eastAsia" w:asciiTheme="minorEastAsia" w:hAnsiTheme="minorEastAsia"/>
          <w:sz w:val="28"/>
          <w:szCs w:val="24"/>
        </w:rPr>
        <w:t>杠杆率</w:t>
      </w:r>
      <w:bookmarkEnd w:id="6"/>
    </w:p>
    <w:p>
      <w:pPr>
        <w:pStyle w:val="3"/>
        <w:spacing w:before="0" w:after="0" w:line="360" w:lineRule="auto"/>
        <w:rPr>
          <w:rFonts w:asciiTheme="minorEastAsia" w:hAnsiTheme="minorEastAsia" w:eastAsiaTheme="minorEastAsia"/>
          <w:sz w:val="24"/>
          <w:szCs w:val="24"/>
        </w:rPr>
      </w:pPr>
      <w:bookmarkStart w:id="7" w:name="_Toc226824217"/>
      <w:r>
        <w:rPr>
          <w:rFonts w:asciiTheme="minorEastAsia" w:hAnsiTheme="minorEastAsia" w:eastAsiaTheme="minorEastAsia"/>
          <w:sz w:val="24"/>
          <w:szCs w:val="24"/>
        </w:rPr>
        <w:t>3</w:t>
      </w:r>
      <w:r>
        <w:rPr>
          <w:rFonts w:hint="eastAsia" w:asciiTheme="minorEastAsia" w:hAnsiTheme="minorEastAsia" w:eastAsiaTheme="minorEastAsia"/>
          <w:sz w:val="24"/>
          <w:szCs w:val="24"/>
        </w:rPr>
        <w:t>.1</w:t>
      </w:r>
      <w:r>
        <w:rPr>
          <w:rFonts w:asciiTheme="minorEastAsia" w:hAnsiTheme="minorEastAsia" w:eastAsiaTheme="minorEastAsia"/>
          <w:sz w:val="24"/>
          <w:szCs w:val="24"/>
        </w:rPr>
        <w:t xml:space="preserve">  </w:t>
      </w:r>
      <w:r>
        <w:rPr>
          <w:rFonts w:hint="eastAsia" w:cs="Times New Roman" w:asciiTheme="minorEastAsia" w:hAnsiTheme="minorEastAsia"/>
          <w:color w:val="000000"/>
          <w:sz w:val="24"/>
          <w:szCs w:val="24"/>
        </w:rPr>
        <w:t xml:space="preserve">LR1 </w:t>
      </w:r>
      <w:r>
        <w:rPr>
          <w:rFonts w:hint="eastAsia" w:asciiTheme="minorEastAsia" w:hAnsiTheme="minorEastAsia" w:eastAsiaTheme="minorEastAsia"/>
          <w:sz w:val="24"/>
          <w:szCs w:val="24"/>
        </w:rPr>
        <w:t>杠杆率监管项目与相关会计项目的差异</w:t>
      </w:r>
      <w:bookmarkEnd w:id="7"/>
    </w:p>
    <w:p>
      <w:pPr>
        <w:spacing w:line="360" w:lineRule="auto"/>
        <w:ind w:firstLine="480" w:firstLineChars="200"/>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下表列示本公司资产负债表中的总资产和杠杆率调整后的表内外资产余额的对比关系。</w:t>
      </w:r>
    </w:p>
    <w:p>
      <w:pPr>
        <w:spacing w:line="360" w:lineRule="auto"/>
        <w:ind w:firstLine="482" w:firstLineChars="200"/>
        <w:rPr>
          <w:rFonts w:cs="Times New Roman" w:asciiTheme="minorEastAsia" w:hAnsiTheme="minorEastAsia"/>
          <w:b/>
          <w:color w:val="000000"/>
          <w:sz w:val="24"/>
          <w:szCs w:val="24"/>
        </w:rPr>
      </w:pPr>
      <w:r>
        <w:rPr>
          <w:rFonts w:hint="eastAsia" w:cs="Times New Roman" w:asciiTheme="minorEastAsia" w:hAnsiTheme="minorEastAsia"/>
          <w:b/>
          <w:color w:val="000000"/>
          <w:sz w:val="24"/>
          <w:szCs w:val="24"/>
        </w:rPr>
        <w:t>表格LR1：杠杆率监管项目与相关会计项目的差异</w:t>
      </w:r>
    </w:p>
    <w:p>
      <w:pPr>
        <w:spacing w:line="360" w:lineRule="auto"/>
        <w:ind w:firstLine="480" w:firstLineChars="200"/>
        <w:jc w:val="right"/>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单位：人民币千元</w:t>
      </w:r>
    </w:p>
    <w:tbl>
      <w:tblPr>
        <w:tblStyle w:val="11"/>
        <w:tblW w:w="9860" w:type="dxa"/>
        <w:jc w:val="center"/>
        <w:tblLayout w:type="autofit"/>
        <w:tblCellMar>
          <w:top w:w="0" w:type="dxa"/>
          <w:left w:w="108" w:type="dxa"/>
          <w:bottom w:w="0" w:type="dxa"/>
          <w:right w:w="108" w:type="dxa"/>
        </w:tblCellMar>
      </w:tblPr>
      <w:tblGrid>
        <w:gridCol w:w="1080"/>
        <w:gridCol w:w="5620"/>
        <w:gridCol w:w="3160"/>
      </w:tblGrid>
      <w:tr>
        <w:tblPrEx>
          <w:tblCellMar>
            <w:top w:w="0" w:type="dxa"/>
            <w:left w:w="108" w:type="dxa"/>
            <w:bottom w:w="0" w:type="dxa"/>
            <w:right w:w="108" w:type="dxa"/>
          </w:tblCellMar>
        </w:tblPrEx>
        <w:trPr>
          <w:trHeight w:val="270" w:hRule="atLeast"/>
          <w:jc w:val="center"/>
        </w:trPr>
        <w:tc>
          <w:tcPr>
            <w:tcW w:w="670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r>
      <w:tr>
        <w:tblPrEx>
          <w:tblCellMar>
            <w:top w:w="0" w:type="dxa"/>
            <w:left w:w="108" w:type="dxa"/>
            <w:bottom w:w="0" w:type="dxa"/>
            <w:right w:w="108" w:type="dxa"/>
          </w:tblCellMar>
        </w:tblPrEx>
        <w:trPr>
          <w:trHeight w:val="270" w:hRule="atLeast"/>
          <w:jc w:val="center"/>
        </w:trPr>
        <w:tc>
          <w:tcPr>
            <w:tcW w:w="67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2026年3月31日</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并表总资产</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294,991,639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并表调整项</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客户资产调整项</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衍生工具调整项</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2,871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证券融资交易调整项</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732,656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表外项目调整项</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22,501,963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资产证券化交易调整项</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未结算金融资产调整项</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现金池调整项</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存款准备金调整项（如有）</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审慎估值和减值准备调整项</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其他调整项</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-245,565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13</w:t>
            </w:r>
          </w:p>
        </w:tc>
        <w:tc>
          <w:tcPr>
            <w:tcW w:w="5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调整后表内外资产余额</w:t>
            </w:r>
          </w:p>
        </w:tc>
        <w:tc>
          <w:tcPr>
            <w:tcW w:w="31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317,983,564 </w:t>
            </w:r>
          </w:p>
        </w:tc>
      </w:tr>
    </w:tbl>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p>
      <w:pPr>
        <w:pStyle w:val="3"/>
        <w:spacing w:before="0" w:after="0" w:line="360" w:lineRule="auto"/>
        <w:rPr>
          <w:rFonts w:asciiTheme="minorEastAsia" w:hAnsiTheme="minorEastAsia" w:eastAsiaTheme="minorEastAsia"/>
          <w:sz w:val="24"/>
          <w:szCs w:val="24"/>
        </w:rPr>
      </w:pPr>
      <w:bookmarkStart w:id="8" w:name="_Toc226824218"/>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2  </w:t>
      </w:r>
      <w:r>
        <w:rPr>
          <w:rFonts w:hint="eastAsia" w:cs="Times New Roman" w:asciiTheme="minorEastAsia" w:hAnsiTheme="minorEastAsia"/>
          <w:color w:val="000000"/>
          <w:sz w:val="24"/>
          <w:szCs w:val="24"/>
        </w:rPr>
        <w:t xml:space="preserve">LR2 </w:t>
      </w:r>
      <w:r>
        <w:rPr>
          <w:rFonts w:hint="eastAsia" w:asciiTheme="minorEastAsia" w:hAnsiTheme="minorEastAsia" w:eastAsiaTheme="minorEastAsia"/>
          <w:sz w:val="24"/>
          <w:szCs w:val="24"/>
        </w:rPr>
        <w:t>杠杆率</w:t>
      </w:r>
      <w:bookmarkEnd w:id="8"/>
    </w:p>
    <w:p>
      <w:pPr>
        <w:spacing w:line="360" w:lineRule="auto"/>
        <w:ind w:firstLine="480" w:firstLineChars="200"/>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下表列示本公司杠杆率分母的组成明细以及实际杠杆率、最低杠杆率要求和附加杠杆率要求等相关信息。</w:t>
      </w:r>
    </w:p>
    <w:p>
      <w:pPr>
        <w:spacing w:line="360" w:lineRule="auto"/>
        <w:ind w:firstLine="482" w:firstLineChars="200"/>
        <w:rPr>
          <w:rFonts w:cs="Times New Roman" w:asciiTheme="minorEastAsia" w:hAnsiTheme="minorEastAsia"/>
          <w:b/>
          <w:color w:val="000000"/>
          <w:sz w:val="24"/>
          <w:szCs w:val="24"/>
        </w:rPr>
      </w:pPr>
      <w:r>
        <w:rPr>
          <w:rFonts w:hint="eastAsia" w:cs="Times New Roman" w:asciiTheme="minorEastAsia" w:hAnsiTheme="minorEastAsia"/>
          <w:b/>
          <w:color w:val="000000"/>
          <w:sz w:val="24"/>
          <w:szCs w:val="24"/>
        </w:rPr>
        <w:t>表格LR2：杠杆率</w:t>
      </w:r>
    </w:p>
    <w:p>
      <w:pPr>
        <w:spacing w:line="360" w:lineRule="auto"/>
        <w:ind w:firstLine="480" w:firstLineChars="200"/>
        <w:jc w:val="right"/>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单位：人民币千元，百分比除外</w:t>
      </w:r>
    </w:p>
    <w:tbl>
      <w:tblPr>
        <w:tblStyle w:val="11"/>
        <w:tblW w:w="9600" w:type="dxa"/>
        <w:jc w:val="center"/>
        <w:tblLayout w:type="autofit"/>
        <w:tblCellMar>
          <w:top w:w="0" w:type="dxa"/>
          <w:left w:w="108" w:type="dxa"/>
          <w:bottom w:w="0" w:type="dxa"/>
          <w:right w:w="108" w:type="dxa"/>
        </w:tblCellMar>
      </w:tblPr>
      <w:tblGrid>
        <w:gridCol w:w="1080"/>
        <w:gridCol w:w="4240"/>
        <w:gridCol w:w="2140"/>
        <w:gridCol w:w="2140"/>
      </w:tblGrid>
      <w:tr>
        <w:tblPrEx>
          <w:tblCellMar>
            <w:top w:w="0" w:type="dxa"/>
            <w:left w:w="108" w:type="dxa"/>
            <w:bottom w:w="0" w:type="dxa"/>
            <w:right w:w="108" w:type="dxa"/>
          </w:tblCellMar>
        </w:tblPrEx>
        <w:trPr>
          <w:trHeight w:val="270" w:hRule="atLeast"/>
          <w:tblHeader/>
          <w:jc w:val="center"/>
        </w:trPr>
        <w:tc>
          <w:tcPr>
            <w:tcW w:w="53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r>
      <w:tr>
        <w:tblPrEx>
          <w:tblCellMar>
            <w:top w:w="0" w:type="dxa"/>
            <w:left w:w="108" w:type="dxa"/>
            <w:bottom w:w="0" w:type="dxa"/>
            <w:right w:w="108" w:type="dxa"/>
          </w:tblCellMar>
        </w:tblPrEx>
        <w:trPr>
          <w:trHeight w:val="270" w:hRule="atLeast"/>
          <w:tblHeader/>
          <w:jc w:val="center"/>
        </w:trPr>
        <w:tc>
          <w:tcPr>
            <w:tcW w:w="53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2026年3月31日</w:t>
            </w:r>
          </w:p>
        </w:tc>
        <w:tc>
          <w:tcPr>
            <w:tcW w:w="2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2025年12月31日</w:t>
            </w:r>
          </w:p>
        </w:tc>
      </w:tr>
      <w:tr>
        <w:tblPrEx>
          <w:tblCellMar>
            <w:top w:w="0" w:type="dxa"/>
            <w:left w:w="108" w:type="dxa"/>
            <w:bottom w:w="0" w:type="dxa"/>
            <w:right w:w="108" w:type="dxa"/>
          </w:tblCellMar>
        </w:tblPrEx>
        <w:trPr>
          <w:trHeight w:val="270" w:hRule="atLeast"/>
          <w:jc w:val="center"/>
        </w:trPr>
        <w:tc>
          <w:tcPr>
            <w:tcW w:w="9600" w:type="dxa"/>
            <w:gridSpan w:val="4"/>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表内资产余额</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2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表内资产（除衍生工具和证券融资交易外）</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287,491,357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285,054,997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减：减值准备</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-5,309,180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-5,245,284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减：一级资本扣除项</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-245,565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-261,966 </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调整后的表内资产余额（衍生工具和证券融资交易除外）</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281,936,612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279,547,747 </w:t>
            </w:r>
          </w:p>
        </w:tc>
      </w:tr>
      <w:tr>
        <w:tblPrEx>
          <w:tblCellMar>
            <w:top w:w="0" w:type="dxa"/>
            <w:left w:w="108" w:type="dxa"/>
            <w:bottom w:w="0" w:type="dxa"/>
            <w:right w:w="108" w:type="dxa"/>
          </w:tblCellMar>
        </w:tblPrEx>
        <w:trPr>
          <w:trHeight w:val="270" w:hRule="atLeast"/>
          <w:jc w:val="center"/>
        </w:trPr>
        <w:tc>
          <w:tcPr>
            <w:tcW w:w="9600" w:type="dxa"/>
            <w:gridSpan w:val="4"/>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衍生工具资产余额</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2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各类衍生工具的重置成本（扣除合格保证金，考虑双边净额结算协议的影响）</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156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49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42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各类衍生工具的潜在风险暴露</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2,715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460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42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已从资产负债表中扣除的抵质押品总和</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42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减：因提供合格保证金形成的应收资产</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42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减：为客户提供清算服务时与中央交易对手交易形成的衍生工具资产余额</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卖出信用衍生工具的名义本金</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减：可扣除的卖出信用衍生工具资产余额</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衍生工具资产余额</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2,871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509 </w:t>
            </w:r>
          </w:p>
        </w:tc>
      </w:tr>
      <w:tr>
        <w:tblPrEx>
          <w:tblCellMar>
            <w:top w:w="0" w:type="dxa"/>
            <w:left w:w="108" w:type="dxa"/>
            <w:bottom w:w="0" w:type="dxa"/>
            <w:right w:w="108" w:type="dxa"/>
          </w:tblCellMar>
        </w:tblPrEx>
        <w:trPr>
          <w:trHeight w:val="270" w:hRule="atLeast"/>
          <w:jc w:val="center"/>
        </w:trPr>
        <w:tc>
          <w:tcPr>
            <w:tcW w:w="9600" w:type="dxa"/>
            <w:gridSpan w:val="4"/>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证券融资交易资产余额</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证券融资交易的会计资产余额</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12,809,462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10,533,346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减：可以扣除的证券融资交易资产余额</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证券融资交易的交易对手信用风险暴露</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732,656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776,678 </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代理证券融资交易形成的证券融资交易资产余额</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证券融资交易资产余额</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13,542,118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11,310,024 </w:t>
            </w:r>
          </w:p>
        </w:tc>
      </w:tr>
      <w:tr>
        <w:tblPrEx>
          <w:tblCellMar>
            <w:top w:w="0" w:type="dxa"/>
            <w:left w:w="108" w:type="dxa"/>
            <w:bottom w:w="0" w:type="dxa"/>
            <w:right w:w="108" w:type="dxa"/>
          </w:tblCellMar>
        </w:tblPrEx>
        <w:trPr>
          <w:trHeight w:val="270" w:hRule="atLeast"/>
          <w:jc w:val="center"/>
        </w:trPr>
        <w:tc>
          <w:tcPr>
            <w:tcW w:w="9600" w:type="dxa"/>
            <w:gridSpan w:val="4"/>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表外项目余额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表外项目余额</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32,966,527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39,832,452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减：因信用转换调整的表外项目余额</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-10,371,331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-13,912,094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减：减值准备</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-93,233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-80,757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调整后的表外项目余额</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22,501,963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25,839,601 </w:t>
            </w:r>
          </w:p>
        </w:tc>
      </w:tr>
      <w:tr>
        <w:tblPrEx>
          <w:tblCellMar>
            <w:top w:w="0" w:type="dxa"/>
            <w:left w:w="108" w:type="dxa"/>
            <w:bottom w:w="0" w:type="dxa"/>
            <w:right w:w="108" w:type="dxa"/>
          </w:tblCellMar>
        </w:tblPrEx>
        <w:trPr>
          <w:trHeight w:val="270" w:hRule="atLeast"/>
          <w:jc w:val="center"/>
        </w:trPr>
        <w:tc>
          <w:tcPr>
            <w:tcW w:w="9600" w:type="dxa"/>
            <w:gridSpan w:val="4"/>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一级资本净额和调整后表内外资产余额</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一级资本净额</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20,489,972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19,997,554 </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调整后表内外资产余额</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317,983,564 </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xml:space="preserve">       316,697,881 </w:t>
            </w:r>
          </w:p>
        </w:tc>
      </w:tr>
      <w:tr>
        <w:tblPrEx>
          <w:tblCellMar>
            <w:top w:w="0" w:type="dxa"/>
            <w:left w:w="108" w:type="dxa"/>
            <w:bottom w:w="0" w:type="dxa"/>
            <w:right w:w="108" w:type="dxa"/>
          </w:tblCellMar>
        </w:tblPrEx>
        <w:trPr>
          <w:trHeight w:val="270" w:hRule="atLeast"/>
          <w:jc w:val="center"/>
        </w:trPr>
        <w:tc>
          <w:tcPr>
            <w:tcW w:w="9600" w:type="dxa"/>
            <w:gridSpan w:val="4"/>
            <w:tcBorders>
              <w:top w:val="single" w:color="auto" w:sz="4" w:space="0"/>
              <w:left w:val="single" w:color="auto" w:sz="4" w:space="0"/>
              <w:bottom w:val="single" w:color="auto" w:sz="4" w:space="0"/>
              <w:right w:val="single" w:color="auto" w:sz="4" w:space="0"/>
            </w:tcBorders>
            <w:shd w:val="clear" w:color="000000" w:fill="E7E6E6"/>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杠杆率</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42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杠杆率（%）</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6.44</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6.31</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24a</w:t>
            </w:r>
          </w:p>
        </w:tc>
        <w:tc>
          <w:tcPr>
            <w:tcW w:w="42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杠杆率a（%）</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6.44</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6.31</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4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最低杠杆率要求（%）</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4.00</w:t>
            </w:r>
          </w:p>
        </w:tc>
        <w:tc>
          <w:tcPr>
            <w:tcW w:w="21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4.00</w:t>
            </w:r>
          </w:p>
        </w:tc>
      </w:tr>
    </w:tbl>
    <w:p>
      <w:pPr>
        <w:spacing w:line="360" w:lineRule="auto"/>
        <w:rPr>
          <w:rFonts w:cs="Times New Roman" w:asciiTheme="minorEastAsia" w:hAnsiTheme="minorEastAsia"/>
          <w:color w:val="000000"/>
          <w:sz w:val="24"/>
          <w:szCs w:val="24"/>
        </w:rPr>
      </w:pPr>
    </w:p>
    <w:p>
      <w:pPr>
        <w:spacing w:line="360" w:lineRule="auto"/>
        <w:rPr>
          <w:rFonts w:cs="Times New Roman" w:asciiTheme="minorEastAsia" w:hAnsiTheme="minorEastAsia"/>
          <w:color w:val="000000"/>
          <w:sz w:val="24"/>
          <w:szCs w:val="24"/>
        </w:rPr>
      </w:pPr>
    </w:p>
    <w:sectPr>
      <w:footerReference r:id="rId3" w:type="default"/>
      <w:pgSz w:w="11906" w:h="16838"/>
      <w:pgMar w:top="1247" w:right="1911" w:bottom="1247" w:left="191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4141187"/>
      <w:docPartObj>
        <w:docPartGallery w:val="autotext"/>
      </w:docPartObj>
    </w:sdtPr>
    <w:sdtEndPr>
      <w:rPr>
        <w:rFonts w:asciiTheme="minorEastAsia" w:hAnsiTheme="minorEastAsia"/>
        <w:sz w:val="24"/>
        <w:szCs w:val="24"/>
      </w:rPr>
    </w:sdtEndPr>
    <w:sdtContent>
      <w:p>
        <w:pPr>
          <w:pStyle w:val="6"/>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sz w:val="24"/>
            <w:szCs w:val="24"/>
            <w:lang w:val="zh-CN"/>
          </w:rPr>
          <w:t>1</w:t>
        </w:r>
        <w:r>
          <w:rPr>
            <w:rFonts w:asciiTheme="minorEastAsia" w:hAnsiTheme="minorEastAsia"/>
            <w:sz w:val="24"/>
            <w:szCs w:val="24"/>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6AC1"/>
    <w:rsid w:val="00002898"/>
    <w:rsid w:val="00006131"/>
    <w:rsid w:val="0000779D"/>
    <w:rsid w:val="00011695"/>
    <w:rsid w:val="00012313"/>
    <w:rsid w:val="00015208"/>
    <w:rsid w:val="00015863"/>
    <w:rsid w:val="00015A56"/>
    <w:rsid w:val="00022586"/>
    <w:rsid w:val="00023D19"/>
    <w:rsid w:val="00024574"/>
    <w:rsid w:val="00024946"/>
    <w:rsid w:val="0002509A"/>
    <w:rsid w:val="00030DFE"/>
    <w:rsid w:val="00033530"/>
    <w:rsid w:val="000359D8"/>
    <w:rsid w:val="00035C08"/>
    <w:rsid w:val="00036D74"/>
    <w:rsid w:val="00040FC9"/>
    <w:rsid w:val="00041FC8"/>
    <w:rsid w:val="000443FC"/>
    <w:rsid w:val="000449A0"/>
    <w:rsid w:val="0004612B"/>
    <w:rsid w:val="00046240"/>
    <w:rsid w:val="00046ED7"/>
    <w:rsid w:val="000508E7"/>
    <w:rsid w:val="00050C83"/>
    <w:rsid w:val="00051EDF"/>
    <w:rsid w:val="00051FD3"/>
    <w:rsid w:val="0005327B"/>
    <w:rsid w:val="00054373"/>
    <w:rsid w:val="000567B8"/>
    <w:rsid w:val="0005707B"/>
    <w:rsid w:val="0005711A"/>
    <w:rsid w:val="00060938"/>
    <w:rsid w:val="00063F9F"/>
    <w:rsid w:val="00063FAE"/>
    <w:rsid w:val="00065116"/>
    <w:rsid w:val="000707E6"/>
    <w:rsid w:val="000719B9"/>
    <w:rsid w:val="0007255C"/>
    <w:rsid w:val="0007265D"/>
    <w:rsid w:val="0007419D"/>
    <w:rsid w:val="00074EF1"/>
    <w:rsid w:val="00076030"/>
    <w:rsid w:val="00076B4A"/>
    <w:rsid w:val="00077AF6"/>
    <w:rsid w:val="00077D54"/>
    <w:rsid w:val="0008126C"/>
    <w:rsid w:val="00082A7B"/>
    <w:rsid w:val="00082C96"/>
    <w:rsid w:val="00083059"/>
    <w:rsid w:val="00086AC4"/>
    <w:rsid w:val="00090A1A"/>
    <w:rsid w:val="00090F43"/>
    <w:rsid w:val="0009299B"/>
    <w:rsid w:val="00093B8B"/>
    <w:rsid w:val="0009484C"/>
    <w:rsid w:val="000952CD"/>
    <w:rsid w:val="000A05A1"/>
    <w:rsid w:val="000A3596"/>
    <w:rsid w:val="000A3D89"/>
    <w:rsid w:val="000A44EF"/>
    <w:rsid w:val="000A5744"/>
    <w:rsid w:val="000B0607"/>
    <w:rsid w:val="000B1038"/>
    <w:rsid w:val="000B26F4"/>
    <w:rsid w:val="000B3677"/>
    <w:rsid w:val="000B37BB"/>
    <w:rsid w:val="000B6FCC"/>
    <w:rsid w:val="000B7007"/>
    <w:rsid w:val="000B7857"/>
    <w:rsid w:val="000C0099"/>
    <w:rsid w:val="000C2F89"/>
    <w:rsid w:val="000C3CC2"/>
    <w:rsid w:val="000C3D14"/>
    <w:rsid w:val="000C568A"/>
    <w:rsid w:val="000C59DE"/>
    <w:rsid w:val="000C65DB"/>
    <w:rsid w:val="000C6818"/>
    <w:rsid w:val="000C7718"/>
    <w:rsid w:val="000D0D16"/>
    <w:rsid w:val="000D0F91"/>
    <w:rsid w:val="000D33AE"/>
    <w:rsid w:val="000D38E7"/>
    <w:rsid w:val="000D43FB"/>
    <w:rsid w:val="000D5844"/>
    <w:rsid w:val="000E18CD"/>
    <w:rsid w:val="000E3D47"/>
    <w:rsid w:val="000E4D1C"/>
    <w:rsid w:val="000E5B3B"/>
    <w:rsid w:val="000E5D09"/>
    <w:rsid w:val="000E779C"/>
    <w:rsid w:val="000F0646"/>
    <w:rsid w:val="000F1486"/>
    <w:rsid w:val="000F5959"/>
    <w:rsid w:val="000F5E93"/>
    <w:rsid w:val="0010253D"/>
    <w:rsid w:val="00104E16"/>
    <w:rsid w:val="00105D3F"/>
    <w:rsid w:val="00107DCA"/>
    <w:rsid w:val="001106CA"/>
    <w:rsid w:val="00110F7E"/>
    <w:rsid w:val="00111872"/>
    <w:rsid w:val="00112D85"/>
    <w:rsid w:val="001138C1"/>
    <w:rsid w:val="00114DCA"/>
    <w:rsid w:val="00116AE8"/>
    <w:rsid w:val="0011793D"/>
    <w:rsid w:val="00120A5B"/>
    <w:rsid w:val="00121EA8"/>
    <w:rsid w:val="001260F3"/>
    <w:rsid w:val="00126B42"/>
    <w:rsid w:val="0013355B"/>
    <w:rsid w:val="001336ED"/>
    <w:rsid w:val="001340A3"/>
    <w:rsid w:val="00134459"/>
    <w:rsid w:val="0013618C"/>
    <w:rsid w:val="00137392"/>
    <w:rsid w:val="001417E4"/>
    <w:rsid w:val="00142834"/>
    <w:rsid w:val="00143D89"/>
    <w:rsid w:val="001459DE"/>
    <w:rsid w:val="00145D3D"/>
    <w:rsid w:val="001460A3"/>
    <w:rsid w:val="0014629F"/>
    <w:rsid w:val="001465F9"/>
    <w:rsid w:val="00150C65"/>
    <w:rsid w:val="00150D9A"/>
    <w:rsid w:val="001517C2"/>
    <w:rsid w:val="00151832"/>
    <w:rsid w:val="001539C3"/>
    <w:rsid w:val="0015757A"/>
    <w:rsid w:val="00157747"/>
    <w:rsid w:val="001619CF"/>
    <w:rsid w:val="00162458"/>
    <w:rsid w:val="00162772"/>
    <w:rsid w:val="00164D31"/>
    <w:rsid w:val="001705D1"/>
    <w:rsid w:val="001709C0"/>
    <w:rsid w:val="00170E8A"/>
    <w:rsid w:val="001752BB"/>
    <w:rsid w:val="00176945"/>
    <w:rsid w:val="00181680"/>
    <w:rsid w:val="0018348D"/>
    <w:rsid w:val="00183C67"/>
    <w:rsid w:val="00183C8D"/>
    <w:rsid w:val="00186A7D"/>
    <w:rsid w:val="00195667"/>
    <w:rsid w:val="0019650D"/>
    <w:rsid w:val="001A47E3"/>
    <w:rsid w:val="001A4CCD"/>
    <w:rsid w:val="001A5E56"/>
    <w:rsid w:val="001A7486"/>
    <w:rsid w:val="001B1CCB"/>
    <w:rsid w:val="001B2F8B"/>
    <w:rsid w:val="001B3ED9"/>
    <w:rsid w:val="001B3FDB"/>
    <w:rsid w:val="001B4164"/>
    <w:rsid w:val="001B4F17"/>
    <w:rsid w:val="001C0AB6"/>
    <w:rsid w:val="001C43AB"/>
    <w:rsid w:val="001C67DD"/>
    <w:rsid w:val="001D05AB"/>
    <w:rsid w:val="001D0A8F"/>
    <w:rsid w:val="001D135D"/>
    <w:rsid w:val="001D16D3"/>
    <w:rsid w:val="001D2B10"/>
    <w:rsid w:val="001D2C3E"/>
    <w:rsid w:val="001D2EDF"/>
    <w:rsid w:val="001D502E"/>
    <w:rsid w:val="001D569A"/>
    <w:rsid w:val="001D6D8A"/>
    <w:rsid w:val="001D7C02"/>
    <w:rsid w:val="001E111F"/>
    <w:rsid w:val="001E4A20"/>
    <w:rsid w:val="001E4E72"/>
    <w:rsid w:val="001E5128"/>
    <w:rsid w:val="001E5A2A"/>
    <w:rsid w:val="001E5B0E"/>
    <w:rsid w:val="001E5DE1"/>
    <w:rsid w:val="001F19F4"/>
    <w:rsid w:val="001F34CC"/>
    <w:rsid w:val="001F47EE"/>
    <w:rsid w:val="001F5304"/>
    <w:rsid w:val="001F60B5"/>
    <w:rsid w:val="001F640B"/>
    <w:rsid w:val="00200B39"/>
    <w:rsid w:val="002011C9"/>
    <w:rsid w:val="00202C2D"/>
    <w:rsid w:val="002066D1"/>
    <w:rsid w:val="0020743D"/>
    <w:rsid w:val="002075AF"/>
    <w:rsid w:val="00207FB9"/>
    <w:rsid w:val="00210847"/>
    <w:rsid w:val="00210A86"/>
    <w:rsid w:val="00210ADA"/>
    <w:rsid w:val="0021319E"/>
    <w:rsid w:val="00214B95"/>
    <w:rsid w:val="00214D9E"/>
    <w:rsid w:val="00216FA3"/>
    <w:rsid w:val="00220BC5"/>
    <w:rsid w:val="00221414"/>
    <w:rsid w:val="002222E3"/>
    <w:rsid w:val="0022444E"/>
    <w:rsid w:val="00224998"/>
    <w:rsid w:val="002257B2"/>
    <w:rsid w:val="00226CB6"/>
    <w:rsid w:val="00227408"/>
    <w:rsid w:val="002315A6"/>
    <w:rsid w:val="0023199D"/>
    <w:rsid w:val="00232585"/>
    <w:rsid w:val="00233AA8"/>
    <w:rsid w:val="00234997"/>
    <w:rsid w:val="00235190"/>
    <w:rsid w:val="00237C86"/>
    <w:rsid w:val="00242A1D"/>
    <w:rsid w:val="00242E10"/>
    <w:rsid w:val="0024380A"/>
    <w:rsid w:val="00245BC0"/>
    <w:rsid w:val="0025041A"/>
    <w:rsid w:val="00252ABC"/>
    <w:rsid w:val="00255022"/>
    <w:rsid w:val="002574ED"/>
    <w:rsid w:val="00257BA0"/>
    <w:rsid w:val="00260571"/>
    <w:rsid w:val="0026222C"/>
    <w:rsid w:val="00262C01"/>
    <w:rsid w:val="00262C84"/>
    <w:rsid w:val="00264ED6"/>
    <w:rsid w:val="00266236"/>
    <w:rsid w:val="00266F50"/>
    <w:rsid w:val="0026735F"/>
    <w:rsid w:val="002676EA"/>
    <w:rsid w:val="002712B7"/>
    <w:rsid w:val="00271B20"/>
    <w:rsid w:val="00271B98"/>
    <w:rsid w:val="00272D70"/>
    <w:rsid w:val="0027455F"/>
    <w:rsid w:val="00275CA4"/>
    <w:rsid w:val="00275F26"/>
    <w:rsid w:val="00276E0B"/>
    <w:rsid w:val="00277A5A"/>
    <w:rsid w:val="00277CB3"/>
    <w:rsid w:val="002812DF"/>
    <w:rsid w:val="00282E26"/>
    <w:rsid w:val="00283B9E"/>
    <w:rsid w:val="00284174"/>
    <w:rsid w:val="00284AA7"/>
    <w:rsid w:val="002919AD"/>
    <w:rsid w:val="002931AF"/>
    <w:rsid w:val="00293720"/>
    <w:rsid w:val="002937E8"/>
    <w:rsid w:val="00295A56"/>
    <w:rsid w:val="002960EE"/>
    <w:rsid w:val="002964CA"/>
    <w:rsid w:val="002A0352"/>
    <w:rsid w:val="002A0D30"/>
    <w:rsid w:val="002A644A"/>
    <w:rsid w:val="002A6FF8"/>
    <w:rsid w:val="002B2636"/>
    <w:rsid w:val="002B4A8F"/>
    <w:rsid w:val="002B5EC7"/>
    <w:rsid w:val="002B60BC"/>
    <w:rsid w:val="002B7732"/>
    <w:rsid w:val="002B7B53"/>
    <w:rsid w:val="002C0876"/>
    <w:rsid w:val="002C0CA0"/>
    <w:rsid w:val="002C231E"/>
    <w:rsid w:val="002C4633"/>
    <w:rsid w:val="002C4914"/>
    <w:rsid w:val="002C4F82"/>
    <w:rsid w:val="002C5251"/>
    <w:rsid w:val="002C68B0"/>
    <w:rsid w:val="002C7A7B"/>
    <w:rsid w:val="002D65C1"/>
    <w:rsid w:val="002D719F"/>
    <w:rsid w:val="002D74E6"/>
    <w:rsid w:val="002D7B52"/>
    <w:rsid w:val="002E0216"/>
    <w:rsid w:val="002E11CE"/>
    <w:rsid w:val="002E2440"/>
    <w:rsid w:val="002E3253"/>
    <w:rsid w:val="002E660F"/>
    <w:rsid w:val="002E690E"/>
    <w:rsid w:val="002E6BE3"/>
    <w:rsid w:val="002E740D"/>
    <w:rsid w:val="002F1D8D"/>
    <w:rsid w:val="002F5A70"/>
    <w:rsid w:val="002F6C19"/>
    <w:rsid w:val="002F6E20"/>
    <w:rsid w:val="002F7D49"/>
    <w:rsid w:val="00302AA5"/>
    <w:rsid w:val="00302BA7"/>
    <w:rsid w:val="00302D80"/>
    <w:rsid w:val="00302F04"/>
    <w:rsid w:val="0030436B"/>
    <w:rsid w:val="0030637B"/>
    <w:rsid w:val="00307A85"/>
    <w:rsid w:val="00310BBF"/>
    <w:rsid w:val="00311FBC"/>
    <w:rsid w:val="00313238"/>
    <w:rsid w:val="00315793"/>
    <w:rsid w:val="0031595F"/>
    <w:rsid w:val="003176BF"/>
    <w:rsid w:val="00322587"/>
    <w:rsid w:val="00323078"/>
    <w:rsid w:val="00324965"/>
    <w:rsid w:val="00325C09"/>
    <w:rsid w:val="00326E56"/>
    <w:rsid w:val="00327DD1"/>
    <w:rsid w:val="00330BA2"/>
    <w:rsid w:val="0033256C"/>
    <w:rsid w:val="00333002"/>
    <w:rsid w:val="00334090"/>
    <w:rsid w:val="003346FC"/>
    <w:rsid w:val="00337655"/>
    <w:rsid w:val="00337B6D"/>
    <w:rsid w:val="00337F3C"/>
    <w:rsid w:val="00341C75"/>
    <w:rsid w:val="00342433"/>
    <w:rsid w:val="00344942"/>
    <w:rsid w:val="00344E27"/>
    <w:rsid w:val="00346BC4"/>
    <w:rsid w:val="003510AF"/>
    <w:rsid w:val="003558A8"/>
    <w:rsid w:val="00355BEA"/>
    <w:rsid w:val="00356BEB"/>
    <w:rsid w:val="00357201"/>
    <w:rsid w:val="003626F9"/>
    <w:rsid w:val="00362A27"/>
    <w:rsid w:val="00362FA2"/>
    <w:rsid w:val="003633EA"/>
    <w:rsid w:val="0036392B"/>
    <w:rsid w:val="0036540C"/>
    <w:rsid w:val="00366F42"/>
    <w:rsid w:val="00371B3D"/>
    <w:rsid w:val="00372145"/>
    <w:rsid w:val="00373322"/>
    <w:rsid w:val="00373410"/>
    <w:rsid w:val="003734CD"/>
    <w:rsid w:val="00375086"/>
    <w:rsid w:val="003766F7"/>
    <w:rsid w:val="003773BA"/>
    <w:rsid w:val="00380C94"/>
    <w:rsid w:val="00381A7F"/>
    <w:rsid w:val="00381C41"/>
    <w:rsid w:val="0038335A"/>
    <w:rsid w:val="003834F8"/>
    <w:rsid w:val="003864F7"/>
    <w:rsid w:val="003904A9"/>
    <w:rsid w:val="00390C5A"/>
    <w:rsid w:val="00390DF9"/>
    <w:rsid w:val="0039286D"/>
    <w:rsid w:val="00392D86"/>
    <w:rsid w:val="0039454D"/>
    <w:rsid w:val="00394BE2"/>
    <w:rsid w:val="00394FC0"/>
    <w:rsid w:val="00396377"/>
    <w:rsid w:val="00397E11"/>
    <w:rsid w:val="00397FD1"/>
    <w:rsid w:val="003A05EE"/>
    <w:rsid w:val="003A07B5"/>
    <w:rsid w:val="003A2985"/>
    <w:rsid w:val="003A6A5F"/>
    <w:rsid w:val="003A6A9E"/>
    <w:rsid w:val="003A6B13"/>
    <w:rsid w:val="003A6BBB"/>
    <w:rsid w:val="003A6BFC"/>
    <w:rsid w:val="003B3E6E"/>
    <w:rsid w:val="003B5E3D"/>
    <w:rsid w:val="003B6613"/>
    <w:rsid w:val="003B7FFE"/>
    <w:rsid w:val="003C0509"/>
    <w:rsid w:val="003C72DB"/>
    <w:rsid w:val="003D0D2B"/>
    <w:rsid w:val="003D117C"/>
    <w:rsid w:val="003D2D49"/>
    <w:rsid w:val="003D472D"/>
    <w:rsid w:val="003D657F"/>
    <w:rsid w:val="003D7D7D"/>
    <w:rsid w:val="003E319F"/>
    <w:rsid w:val="003E37CE"/>
    <w:rsid w:val="003E3E1D"/>
    <w:rsid w:val="003E606C"/>
    <w:rsid w:val="003F1C94"/>
    <w:rsid w:val="003F1ED3"/>
    <w:rsid w:val="003F2E84"/>
    <w:rsid w:val="003F5874"/>
    <w:rsid w:val="0040261E"/>
    <w:rsid w:val="00404286"/>
    <w:rsid w:val="00407114"/>
    <w:rsid w:val="00410750"/>
    <w:rsid w:val="00411E20"/>
    <w:rsid w:val="00415131"/>
    <w:rsid w:val="00415201"/>
    <w:rsid w:val="004166AE"/>
    <w:rsid w:val="00417CC3"/>
    <w:rsid w:val="004204A5"/>
    <w:rsid w:val="00421191"/>
    <w:rsid w:val="00421783"/>
    <w:rsid w:val="00422BA1"/>
    <w:rsid w:val="00422E5A"/>
    <w:rsid w:val="00424FF0"/>
    <w:rsid w:val="0042501B"/>
    <w:rsid w:val="00425CF6"/>
    <w:rsid w:val="004328FE"/>
    <w:rsid w:val="00432BD1"/>
    <w:rsid w:val="0043307B"/>
    <w:rsid w:val="0043589D"/>
    <w:rsid w:val="00435DEC"/>
    <w:rsid w:val="004365E0"/>
    <w:rsid w:val="00436C67"/>
    <w:rsid w:val="0044048F"/>
    <w:rsid w:val="00440D2E"/>
    <w:rsid w:val="00442209"/>
    <w:rsid w:val="0044253B"/>
    <w:rsid w:val="004425D3"/>
    <w:rsid w:val="00444472"/>
    <w:rsid w:val="004448A4"/>
    <w:rsid w:val="00447ED6"/>
    <w:rsid w:val="0045283E"/>
    <w:rsid w:val="004532B6"/>
    <w:rsid w:val="00453F52"/>
    <w:rsid w:val="004559BA"/>
    <w:rsid w:val="00456EFE"/>
    <w:rsid w:val="0045702E"/>
    <w:rsid w:val="00457E4C"/>
    <w:rsid w:val="00460725"/>
    <w:rsid w:val="0046184F"/>
    <w:rsid w:val="004627AB"/>
    <w:rsid w:val="00462950"/>
    <w:rsid w:val="00462E94"/>
    <w:rsid w:val="00464B58"/>
    <w:rsid w:val="00465105"/>
    <w:rsid w:val="00465D09"/>
    <w:rsid w:val="004665C6"/>
    <w:rsid w:val="0047136C"/>
    <w:rsid w:val="00472AC7"/>
    <w:rsid w:val="00472B9A"/>
    <w:rsid w:val="0047354A"/>
    <w:rsid w:val="00474AA2"/>
    <w:rsid w:val="00474CDC"/>
    <w:rsid w:val="00475D30"/>
    <w:rsid w:val="004819A7"/>
    <w:rsid w:val="00485759"/>
    <w:rsid w:val="00485CF7"/>
    <w:rsid w:val="00487353"/>
    <w:rsid w:val="004876DC"/>
    <w:rsid w:val="00490F8B"/>
    <w:rsid w:val="0049105F"/>
    <w:rsid w:val="004910FF"/>
    <w:rsid w:val="004926BD"/>
    <w:rsid w:val="0049293A"/>
    <w:rsid w:val="0049393C"/>
    <w:rsid w:val="00494EC1"/>
    <w:rsid w:val="00496523"/>
    <w:rsid w:val="004A02FC"/>
    <w:rsid w:val="004A0948"/>
    <w:rsid w:val="004A2809"/>
    <w:rsid w:val="004A3BE2"/>
    <w:rsid w:val="004A6721"/>
    <w:rsid w:val="004A69AF"/>
    <w:rsid w:val="004A6F46"/>
    <w:rsid w:val="004A71BF"/>
    <w:rsid w:val="004B1638"/>
    <w:rsid w:val="004B29F1"/>
    <w:rsid w:val="004B3164"/>
    <w:rsid w:val="004B69F4"/>
    <w:rsid w:val="004C1823"/>
    <w:rsid w:val="004C3959"/>
    <w:rsid w:val="004C49CF"/>
    <w:rsid w:val="004C6745"/>
    <w:rsid w:val="004C7DCA"/>
    <w:rsid w:val="004D150B"/>
    <w:rsid w:val="004D18E1"/>
    <w:rsid w:val="004D1BB7"/>
    <w:rsid w:val="004D313F"/>
    <w:rsid w:val="004D43C2"/>
    <w:rsid w:val="004D4788"/>
    <w:rsid w:val="004D7434"/>
    <w:rsid w:val="004E2170"/>
    <w:rsid w:val="004E26BD"/>
    <w:rsid w:val="004E3C35"/>
    <w:rsid w:val="004E53CE"/>
    <w:rsid w:val="004E5579"/>
    <w:rsid w:val="004E61BE"/>
    <w:rsid w:val="004E6928"/>
    <w:rsid w:val="004E6B7D"/>
    <w:rsid w:val="004F3E50"/>
    <w:rsid w:val="004F54AD"/>
    <w:rsid w:val="004F673C"/>
    <w:rsid w:val="00501AE9"/>
    <w:rsid w:val="005038CE"/>
    <w:rsid w:val="00504E0D"/>
    <w:rsid w:val="005102DB"/>
    <w:rsid w:val="00513045"/>
    <w:rsid w:val="00513E4B"/>
    <w:rsid w:val="00514D1C"/>
    <w:rsid w:val="005153A4"/>
    <w:rsid w:val="00516B97"/>
    <w:rsid w:val="00523DDC"/>
    <w:rsid w:val="00525B6F"/>
    <w:rsid w:val="005272AE"/>
    <w:rsid w:val="00530005"/>
    <w:rsid w:val="00530B19"/>
    <w:rsid w:val="00530C85"/>
    <w:rsid w:val="005316D0"/>
    <w:rsid w:val="0053287D"/>
    <w:rsid w:val="00532962"/>
    <w:rsid w:val="00535057"/>
    <w:rsid w:val="0053651B"/>
    <w:rsid w:val="0054001D"/>
    <w:rsid w:val="00540566"/>
    <w:rsid w:val="00545715"/>
    <w:rsid w:val="00546857"/>
    <w:rsid w:val="005512B0"/>
    <w:rsid w:val="00552EFD"/>
    <w:rsid w:val="005531BC"/>
    <w:rsid w:val="00557343"/>
    <w:rsid w:val="005619FB"/>
    <w:rsid w:val="00561F7C"/>
    <w:rsid w:val="005630E2"/>
    <w:rsid w:val="00570BFC"/>
    <w:rsid w:val="00572CCA"/>
    <w:rsid w:val="00574CFA"/>
    <w:rsid w:val="005750A3"/>
    <w:rsid w:val="005769A3"/>
    <w:rsid w:val="005774AF"/>
    <w:rsid w:val="0059129C"/>
    <w:rsid w:val="005927B9"/>
    <w:rsid w:val="00595117"/>
    <w:rsid w:val="005A0286"/>
    <w:rsid w:val="005A10D2"/>
    <w:rsid w:val="005A1161"/>
    <w:rsid w:val="005A25B4"/>
    <w:rsid w:val="005A4C2B"/>
    <w:rsid w:val="005B0229"/>
    <w:rsid w:val="005B06AA"/>
    <w:rsid w:val="005B2573"/>
    <w:rsid w:val="005B30AD"/>
    <w:rsid w:val="005B33C9"/>
    <w:rsid w:val="005B5EE0"/>
    <w:rsid w:val="005B7DA8"/>
    <w:rsid w:val="005C0443"/>
    <w:rsid w:val="005C0D48"/>
    <w:rsid w:val="005C1C5D"/>
    <w:rsid w:val="005C2003"/>
    <w:rsid w:val="005C42CB"/>
    <w:rsid w:val="005C7703"/>
    <w:rsid w:val="005D3CF9"/>
    <w:rsid w:val="005D3DF6"/>
    <w:rsid w:val="005D4DA5"/>
    <w:rsid w:val="005D6809"/>
    <w:rsid w:val="005E452C"/>
    <w:rsid w:val="005F40AD"/>
    <w:rsid w:val="005F50DF"/>
    <w:rsid w:val="005F61FB"/>
    <w:rsid w:val="005F7CF6"/>
    <w:rsid w:val="005F7DC7"/>
    <w:rsid w:val="0060232C"/>
    <w:rsid w:val="006029FA"/>
    <w:rsid w:val="006043F5"/>
    <w:rsid w:val="00610C96"/>
    <w:rsid w:val="0061113C"/>
    <w:rsid w:val="006114A3"/>
    <w:rsid w:val="006119BA"/>
    <w:rsid w:val="00611CBE"/>
    <w:rsid w:val="00614817"/>
    <w:rsid w:val="0062018A"/>
    <w:rsid w:val="00620A08"/>
    <w:rsid w:val="00625B55"/>
    <w:rsid w:val="0063066B"/>
    <w:rsid w:val="00631398"/>
    <w:rsid w:val="00634E4C"/>
    <w:rsid w:val="00637657"/>
    <w:rsid w:val="00637FAC"/>
    <w:rsid w:val="00641A72"/>
    <w:rsid w:val="00641B66"/>
    <w:rsid w:val="00643A17"/>
    <w:rsid w:val="00643A6D"/>
    <w:rsid w:val="006444C7"/>
    <w:rsid w:val="00644B61"/>
    <w:rsid w:val="00644D3D"/>
    <w:rsid w:val="00646074"/>
    <w:rsid w:val="00650A6B"/>
    <w:rsid w:val="00652D85"/>
    <w:rsid w:val="00654B5B"/>
    <w:rsid w:val="00656047"/>
    <w:rsid w:val="00660F11"/>
    <w:rsid w:val="00661CB5"/>
    <w:rsid w:val="00664779"/>
    <w:rsid w:val="00666524"/>
    <w:rsid w:val="00667AA4"/>
    <w:rsid w:val="00667CA4"/>
    <w:rsid w:val="00671EB8"/>
    <w:rsid w:val="006720FD"/>
    <w:rsid w:val="0067306C"/>
    <w:rsid w:val="006739CA"/>
    <w:rsid w:val="00674110"/>
    <w:rsid w:val="00675E48"/>
    <w:rsid w:val="00676F66"/>
    <w:rsid w:val="00677ECC"/>
    <w:rsid w:val="00683A52"/>
    <w:rsid w:val="00684215"/>
    <w:rsid w:val="0068589F"/>
    <w:rsid w:val="00694B59"/>
    <w:rsid w:val="006975A9"/>
    <w:rsid w:val="006A2665"/>
    <w:rsid w:val="006A3394"/>
    <w:rsid w:val="006A42DF"/>
    <w:rsid w:val="006A508D"/>
    <w:rsid w:val="006A56DB"/>
    <w:rsid w:val="006A57F0"/>
    <w:rsid w:val="006A6461"/>
    <w:rsid w:val="006B0E95"/>
    <w:rsid w:val="006B2ED0"/>
    <w:rsid w:val="006B37A3"/>
    <w:rsid w:val="006B5797"/>
    <w:rsid w:val="006B6322"/>
    <w:rsid w:val="006B7068"/>
    <w:rsid w:val="006B70DB"/>
    <w:rsid w:val="006C0211"/>
    <w:rsid w:val="006C0905"/>
    <w:rsid w:val="006C1922"/>
    <w:rsid w:val="006C38CE"/>
    <w:rsid w:val="006C4620"/>
    <w:rsid w:val="006C4B70"/>
    <w:rsid w:val="006C4E45"/>
    <w:rsid w:val="006C743F"/>
    <w:rsid w:val="006C7870"/>
    <w:rsid w:val="006C7B1B"/>
    <w:rsid w:val="006D3705"/>
    <w:rsid w:val="006D3798"/>
    <w:rsid w:val="006D4821"/>
    <w:rsid w:val="006D4968"/>
    <w:rsid w:val="006D54CC"/>
    <w:rsid w:val="006E1ACD"/>
    <w:rsid w:val="006E2D7D"/>
    <w:rsid w:val="006E3F10"/>
    <w:rsid w:val="006E48C5"/>
    <w:rsid w:val="006E4A17"/>
    <w:rsid w:val="006F3212"/>
    <w:rsid w:val="006F3781"/>
    <w:rsid w:val="006F4A89"/>
    <w:rsid w:val="006F532D"/>
    <w:rsid w:val="006F6E5A"/>
    <w:rsid w:val="00704613"/>
    <w:rsid w:val="00704DBE"/>
    <w:rsid w:val="00705CAF"/>
    <w:rsid w:val="007079AD"/>
    <w:rsid w:val="00712180"/>
    <w:rsid w:val="00715F49"/>
    <w:rsid w:val="00716F6F"/>
    <w:rsid w:val="007202AD"/>
    <w:rsid w:val="0072342B"/>
    <w:rsid w:val="007260F1"/>
    <w:rsid w:val="00726174"/>
    <w:rsid w:val="007279AC"/>
    <w:rsid w:val="00731E24"/>
    <w:rsid w:val="00733B15"/>
    <w:rsid w:val="00733B94"/>
    <w:rsid w:val="00734E19"/>
    <w:rsid w:val="007370F5"/>
    <w:rsid w:val="00740587"/>
    <w:rsid w:val="00742145"/>
    <w:rsid w:val="0074335C"/>
    <w:rsid w:val="007457A8"/>
    <w:rsid w:val="00745E31"/>
    <w:rsid w:val="00745ED5"/>
    <w:rsid w:val="007468E6"/>
    <w:rsid w:val="00747EC6"/>
    <w:rsid w:val="00750181"/>
    <w:rsid w:val="00752B40"/>
    <w:rsid w:val="00752FE4"/>
    <w:rsid w:val="00753682"/>
    <w:rsid w:val="0075776C"/>
    <w:rsid w:val="007610A0"/>
    <w:rsid w:val="00761F2E"/>
    <w:rsid w:val="0076215A"/>
    <w:rsid w:val="007639D0"/>
    <w:rsid w:val="00763E5F"/>
    <w:rsid w:val="0076495F"/>
    <w:rsid w:val="0076591C"/>
    <w:rsid w:val="00765F34"/>
    <w:rsid w:val="007667E3"/>
    <w:rsid w:val="0076699F"/>
    <w:rsid w:val="0077025E"/>
    <w:rsid w:val="0077044D"/>
    <w:rsid w:val="00772840"/>
    <w:rsid w:val="00774EB0"/>
    <w:rsid w:val="00776D00"/>
    <w:rsid w:val="00780355"/>
    <w:rsid w:val="0078106A"/>
    <w:rsid w:val="00782398"/>
    <w:rsid w:val="007823DA"/>
    <w:rsid w:val="00783869"/>
    <w:rsid w:val="00785078"/>
    <w:rsid w:val="00787DF4"/>
    <w:rsid w:val="00791B3F"/>
    <w:rsid w:val="00791DCE"/>
    <w:rsid w:val="00792FD9"/>
    <w:rsid w:val="0079648A"/>
    <w:rsid w:val="0079717E"/>
    <w:rsid w:val="007A11DC"/>
    <w:rsid w:val="007A1230"/>
    <w:rsid w:val="007A161A"/>
    <w:rsid w:val="007A3482"/>
    <w:rsid w:val="007A4AD2"/>
    <w:rsid w:val="007A6144"/>
    <w:rsid w:val="007A6782"/>
    <w:rsid w:val="007A6FAE"/>
    <w:rsid w:val="007A724F"/>
    <w:rsid w:val="007A7667"/>
    <w:rsid w:val="007B0832"/>
    <w:rsid w:val="007B386A"/>
    <w:rsid w:val="007B475D"/>
    <w:rsid w:val="007B5426"/>
    <w:rsid w:val="007B5734"/>
    <w:rsid w:val="007B5FEB"/>
    <w:rsid w:val="007C01E6"/>
    <w:rsid w:val="007C026D"/>
    <w:rsid w:val="007C0328"/>
    <w:rsid w:val="007C0837"/>
    <w:rsid w:val="007C147C"/>
    <w:rsid w:val="007C424E"/>
    <w:rsid w:val="007C7180"/>
    <w:rsid w:val="007D051C"/>
    <w:rsid w:val="007D11BB"/>
    <w:rsid w:val="007E4FAE"/>
    <w:rsid w:val="007E5065"/>
    <w:rsid w:val="007E6024"/>
    <w:rsid w:val="007E6E06"/>
    <w:rsid w:val="007F36C6"/>
    <w:rsid w:val="007F3BCB"/>
    <w:rsid w:val="007F74D7"/>
    <w:rsid w:val="008008E4"/>
    <w:rsid w:val="0080168B"/>
    <w:rsid w:val="008033DB"/>
    <w:rsid w:val="00807177"/>
    <w:rsid w:val="0081033C"/>
    <w:rsid w:val="008124C5"/>
    <w:rsid w:val="008136E3"/>
    <w:rsid w:val="00815322"/>
    <w:rsid w:val="00821130"/>
    <w:rsid w:val="0082752D"/>
    <w:rsid w:val="0082789D"/>
    <w:rsid w:val="00830DE2"/>
    <w:rsid w:val="0083159E"/>
    <w:rsid w:val="008315D8"/>
    <w:rsid w:val="00832152"/>
    <w:rsid w:val="00834243"/>
    <w:rsid w:val="00836780"/>
    <w:rsid w:val="008378EC"/>
    <w:rsid w:val="00840209"/>
    <w:rsid w:val="00840B26"/>
    <w:rsid w:val="00840CDE"/>
    <w:rsid w:val="008418EF"/>
    <w:rsid w:val="00841A33"/>
    <w:rsid w:val="00843FBE"/>
    <w:rsid w:val="008448F7"/>
    <w:rsid w:val="008466D9"/>
    <w:rsid w:val="00846836"/>
    <w:rsid w:val="00847761"/>
    <w:rsid w:val="00847F38"/>
    <w:rsid w:val="008523F9"/>
    <w:rsid w:val="00852A1B"/>
    <w:rsid w:val="00860EDE"/>
    <w:rsid w:val="00861068"/>
    <w:rsid w:val="00862FCF"/>
    <w:rsid w:val="00865F90"/>
    <w:rsid w:val="00866CA1"/>
    <w:rsid w:val="008676EC"/>
    <w:rsid w:val="00867C8A"/>
    <w:rsid w:val="008721C7"/>
    <w:rsid w:val="00872393"/>
    <w:rsid w:val="00873717"/>
    <w:rsid w:val="00873B63"/>
    <w:rsid w:val="00874532"/>
    <w:rsid w:val="00875428"/>
    <w:rsid w:val="008760A6"/>
    <w:rsid w:val="00876785"/>
    <w:rsid w:val="008779DF"/>
    <w:rsid w:val="00877F5C"/>
    <w:rsid w:val="008810B4"/>
    <w:rsid w:val="008811E7"/>
    <w:rsid w:val="00881C27"/>
    <w:rsid w:val="00882BB2"/>
    <w:rsid w:val="00883831"/>
    <w:rsid w:val="00885336"/>
    <w:rsid w:val="00885B94"/>
    <w:rsid w:val="008863E7"/>
    <w:rsid w:val="00893F39"/>
    <w:rsid w:val="00895271"/>
    <w:rsid w:val="008957D3"/>
    <w:rsid w:val="00895DF1"/>
    <w:rsid w:val="008962F3"/>
    <w:rsid w:val="00896E75"/>
    <w:rsid w:val="008970B6"/>
    <w:rsid w:val="008970DA"/>
    <w:rsid w:val="00897BE4"/>
    <w:rsid w:val="008A066B"/>
    <w:rsid w:val="008A0701"/>
    <w:rsid w:val="008A149E"/>
    <w:rsid w:val="008A2709"/>
    <w:rsid w:val="008A49A8"/>
    <w:rsid w:val="008A4BE3"/>
    <w:rsid w:val="008A4E8E"/>
    <w:rsid w:val="008A5CD0"/>
    <w:rsid w:val="008A69D2"/>
    <w:rsid w:val="008B0491"/>
    <w:rsid w:val="008B07A1"/>
    <w:rsid w:val="008B2DA3"/>
    <w:rsid w:val="008B34FE"/>
    <w:rsid w:val="008B3573"/>
    <w:rsid w:val="008B47B1"/>
    <w:rsid w:val="008B70EF"/>
    <w:rsid w:val="008C0012"/>
    <w:rsid w:val="008C0A45"/>
    <w:rsid w:val="008C0DC0"/>
    <w:rsid w:val="008C1B87"/>
    <w:rsid w:val="008C1F50"/>
    <w:rsid w:val="008C2C90"/>
    <w:rsid w:val="008C58B7"/>
    <w:rsid w:val="008D4FBA"/>
    <w:rsid w:val="008D52C6"/>
    <w:rsid w:val="008D56A8"/>
    <w:rsid w:val="008D7598"/>
    <w:rsid w:val="008D78D5"/>
    <w:rsid w:val="008E10C8"/>
    <w:rsid w:val="008E1DDB"/>
    <w:rsid w:val="008E288E"/>
    <w:rsid w:val="008F0004"/>
    <w:rsid w:val="008F25FC"/>
    <w:rsid w:val="008F2F4F"/>
    <w:rsid w:val="008F3F62"/>
    <w:rsid w:val="008F497D"/>
    <w:rsid w:val="008F706D"/>
    <w:rsid w:val="008F7241"/>
    <w:rsid w:val="008F7807"/>
    <w:rsid w:val="00900D3A"/>
    <w:rsid w:val="009011C8"/>
    <w:rsid w:val="009024A3"/>
    <w:rsid w:val="00903508"/>
    <w:rsid w:val="009046A9"/>
    <w:rsid w:val="009050E6"/>
    <w:rsid w:val="00905914"/>
    <w:rsid w:val="00906037"/>
    <w:rsid w:val="009066B3"/>
    <w:rsid w:val="0091130A"/>
    <w:rsid w:val="00915EB9"/>
    <w:rsid w:val="00916A6A"/>
    <w:rsid w:val="00917CEE"/>
    <w:rsid w:val="00921258"/>
    <w:rsid w:val="00923797"/>
    <w:rsid w:val="00924633"/>
    <w:rsid w:val="00925C2F"/>
    <w:rsid w:val="00926A26"/>
    <w:rsid w:val="00930AFF"/>
    <w:rsid w:val="00930F9A"/>
    <w:rsid w:val="00931956"/>
    <w:rsid w:val="00933882"/>
    <w:rsid w:val="0093491E"/>
    <w:rsid w:val="00935726"/>
    <w:rsid w:val="00936AC1"/>
    <w:rsid w:val="00936E0B"/>
    <w:rsid w:val="0094339A"/>
    <w:rsid w:val="00943FDC"/>
    <w:rsid w:val="0094400C"/>
    <w:rsid w:val="00944751"/>
    <w:rsid w:val="00945E06"/>
    <w:rsid w:val="009511CF"/>
    <w:rsid w:val="00951264"/>
    <w:rsid w:val="00951B28"/>
    <w:rsid w:val="00954579"/>
    <w:rsid w:val="009557F8"/>
    <w:rsid w:val="00955CEA"/>
    <w:rsid w:val="00955D5B"/>
    <w:rsid w:val="00956E03"/>
    <w:rsid w:val="00957679"/>
    <w:rsid w:val="009604DA"/>
    <w:rsid w:val="009622F0"/>
    <w:rsid w:val="0096657A"/>
    <w:rsid w:val="00967874"/>
    <w:rsid w:val="00970CC4"/>
    <w:rsid w:val="00972948"/>
    <w:rsid w:val="00972E79"/>
    <w:rsid w:val="0097770C"/>
    <w:rsid w:val="009806A8"/>
    <w:rsid w:val="00983FCA"/>
    <w:rsid w:val="0098500B"/>
    <w:rsid w:val="00990AF7"/>
    <w:rsid w:val="00991CB5"/>
    <w:rsid w:val="00993AD9"/>
    <w:rsid w:val="0099630E"/>
    <w:rsid w:val="009A25AF"/>
    <w:rsid w:val="009A63C5"/>
    <w:rsid w:val="009A7DB2"/>
    <w:rsid w:val="009B0105"/>
    <w:rsid w:val="009B12ED"/>
    <w:rsid w:val="009B18EA"/>
    <w:rsid w:val="009B41A8"/>
    <w:rsid w:val="009B5347"/>
    <w:rsid w:val="009B5DF5"/>
    <w:rsid w:val="009C296A"/>
    <w:rsid w:val="009C4A43"/>
    <w:rsid w:val="009C4FA7"/>
    <w:rsid w:val="009C7639"/>
    <w:rsid w:val="009D043A"/>
    <w:rsid w:val="009D1416"/>
    <w:rsid w:val="009D14CD"/>
    <w:rsid w:val="009D373D"/>
    <w:rsid w:val="009D45B4"/>
    <w:rsid w:val="009D4A56"/>
    <w:rsid w:val="009E155A"/>
    <w:rsid w:val="009E4207"/>
    <w:rsid w:val="009E7C27"/>
    <w:rsid w:val="009F0A24"/>
    <w:rsid w:val="009F48DB"/>
    <w:rsid w:val="00A00E44"/>
    <w:rsid w:val="00A01204"/>
    <w:rsid w:val="00A023AD"/>
    <w:rsid w:val="00A03785"/>
    <w:rsid w:val="00A049CA"/>
    <w:rsid w:val="00A04B10"/>
    <w:rsid w:val="00A05E14"/>
    <w:rsid w:val="00A113B2"/>
    <w:rsid w:val="00A11448"/>
    <w:rsid w:val="00A12B50"/>
    <w:rsid w:val="00A14F93"/>
    <w:rsid w:val="00A15AAC"/>
    <w:rsid w:val="00A17425"/>
    <w:rsid w:val="00A17665"/>
    <w:rsid w:val="00A2033A"/>
    <w:rsid w:val="00A20D97"/>
    <w:rsid w:val="00A20FE6"/>
    <w:rsid w:val="00A21C1A"/>
    <w:rsid w:val="00A236F3"/>
    <w:rsid w:val="00A25FC7"/>
    <w:rsid w:val="00A26230"/>
    <w:rsid w:val="00A26CE2"/>
    <w:rsid w:val="00A27A0E"/>
    <w:rsid w:val="00A3061A"/>
    <w:rsid w:val="00A318AF"/>
    <w:rsid w:val="00A323E7"/>
    <w:rsid w:val="00A3352C"/>
    <w:rsid w:val="00A33E36"/>
    <w:rsid w:val="00A34FF4"/>
    <w:rsid w:val="00A36332"/>
    <w:rsid w:val="00A36957"/>
    <w:rsid w:val="00A37642"/>
    <w:rsid w:val="00A379AA"/>
    <w:rsid w:val="00A41112"/>
    <w:rsid w:val="00A411C2"/>
    <w:rsid w:val="00A425F3"/>
    <w:rsid w:val="00A43F8C"/>
    <w:rsid w:val="00A54855"/>
    <w:rsid w:val="00A562C9"/>
    <w:rsid w:val="00A5694B"/>
    <w:rsid w:val="00A5782C"/>
    <w:rsid w:val="00A60551"/>
    <w:rsid w:val="00A60CD5"/>
    <w:rsid w:val="00A61256"/>
    <w:rsid w:val="00A626DD"/>
    <w:rsid w:val="00A63C6E"/>
    <w:rsid w:val="00A63CE0"/>
    <w:rsid w:val="00A6563D"/>
    <w:rsid w:val="00A6571D"/>
    <w:rsid w:val="00A665F6"/>
    <w:rsid w:val="00A67431"/>
    <w:rsid w:val="00A67619"/>
    <w:rsid w:val="00A71287"/>
    <w:rsid w:val="00A71D4A"/>
    <w:rsid w:val="00A725AF"/>
    <w:rsid w:val="00A732B9"/>
    <w:rsid w:val="00A73942"/>
    <w:rsid w:val="00A7412A"/>
    <w:rsid w:val="00A75039"/>
    <w:rsid w:val="00A750F8"/>
    <w:rsid w:val="00A75BD5"/>
    <w:rsid w:val="00A75DC1"/>
    <w:rsid w:val="00A76EBD"/>
    <w:rsid w:val="00A77496"/>
    <w:rsid w:val="00A80173"/>
    <w:rsid w:val="00A80A04"/>
    <w:rsid w:val="00A80B68"/>
    <w:rsid w:val="00A8405F"/>
    <w:rsid w:val="00A85545"/>
    <w:rsid w:val="00A856A7"/>
    <w:rsid w:val="00A87222"/>
    <w:rsid w:val="00A87B83"/>
    <w:rsid w:val="00A95BBB"/>
    <w:rsid w:val="00A960E1"/>
    <w:rsid w:val="00A9638E"/>
    <w:rsid w:val="00A96EDC"/>
    <w:rsid w:val="00A97661"/>
    <w:rsid w:val="00AA0E83"/>
    <w:rsid w:val="00AA2003"/>
    <w:rsid w:val="00AA3B41"/>
    <w:rsid w:val="00AA4E8F"/>
    <w:rsid w:val="00AB012D"/>
    <w:rsid w:val="00AB1509"/>
    <w:rsid w:val="00AB1E06"/>
    <w:rsid w:val="00AB28E6"/>
    <w:rsid w:val="00AB3E23"/>
    <w:rsid w:val="00AB3EFE"/>
    <w:rsid w:val="00AB43F9"/>
    <w:rsid w:val="00AB7219"/>
    <w:rsid w:val="00AB746B"/>
    <w:rsid w:val="00AB79DF"/>
    <w:rsid w:val="00AB7F07"/>
    <w:rsid w:val="00AC0046"/>
    <w:rsid w:val="00AC17BD"/>
    <w:rsid w:val="00AC454B"/>
    <w:rsid w:val="00AC5A3B"/>
    <w:rsid w:val="00AC6F27"/>
    <w:rsid w:val="00AD4C2C"/>
    <w:rsid w:val="00AD5E7C"/>
    <w:rsid w:val="00AE0848"/>
    <w:rsid w:val="00AE087A"/>
    <w:rsid w:val="00AE14D0"/>
    <w:rsid w:val="00AE3BE3"/>
    <w:rsid w:val="00AE4233"/>
    <w:rsid w:val="00AE5306"/>
    <w:rsid w:val="00AE5F05"/>
    <w:rsid w:val="00AE7477"/>
    <w:rsid w:val="00AE7C67"/>
    <w:rsid w:val="00AF2454"/>
    <w:rsid w:val="00AF72D9"/>
    <w:rsid w:val="00B00528"/>
    <w:rsid w:val="00B01221"/>
    <w:rsid w:val="00B01FDE"/>
    <w:rsid w:val="00B02977"/>
    <w:rsid w:val="00B04988"/>
    <w:rsid w:val="00B06732"/>
    <w:rsid w:val="00B06917"/>
    <w:rsid w:val="00B0734E"/>
    <w:rsid w:val="00B10A80"/>
    <w:rsid w:val="00B11820"/>
    <w:rsid w:val="00B118CE"/>
    <w:rsid w:val="00B1338A"/>
    <w:rsid w:val="00B13D42"/>
    <w:rsid w:val="00B15177"/>
    <w:rsid w:val="00B15A63"/>
    <w:rsid w:val="00B164D8"/>
    <w:rsid w:val="00B16566"/>
    <w:rsid w:val="00B1667C"/>
    <w:rsid w:val="00B17FB6"/>
    <w:rsid w:val="00B2190E"/>
    <w:rsid w:val="00B21ECA"/>
    <w:rsid w:val="00B21F43"/>
    <w:rsid w:val="00B24CB3"/>
    <w:rsid w:val="00B279B2"/>
    <w:rsid w:val="00B31D39"/>
    <w:rsid w:val="00B33422"/>
    <w:rsid w:val="00B34E5E"/>
    <w:rsid w:val="00B355CD"/>
    <w:rsid w:val="00B358CF"/>
    <w:rsid w:val="00B35B38"/>
    <w:rsid w:val="00B36129"/>
    <w:rsid w:val="00B36C12"/>
    <w:rsid w:val="00B413F5"/>
    <w:rsid w:val="00B42314"/>
    <w:rsid w:val="00B42582"/>
    <w:rsid w:val="00B43BD5"/>
    <w:rsid w:val="00B446A8"/>
    <w:rsid w:val="00B47463"/>
    <w:rsid w:val="00B521C3"/>
    <w:rsid w:val="00B5396F"/>
    <w:rsid w:val="00B54088"/>
    <w:rsid w:val="00B55383"/>
    <w:rsid w:val="00B615A3"/>
    <w:rsid w:val="00B63B24"/>
    <w:rsid w:val="00B64294"/>
    <w:rsid w:val="00B64535"/>
    <w:rsid w:val="00B654A4"/>
    <w:rsid w:val="00B65501"/>
    <w:rsid w:val="00B656EB"/>
    <w:rsid w:val="00B66A5F"/>
    <w:rsid w:val="00B72124"/>
    <w:rsid w:val="00B737D8"/>
    <w:rsid w:val="00B7385B"/>
    <w:rsid w:val="00B7450B"/>
    <w:rsid w:val="00B75ADC"/>
    <w:rsid w:val="00B764F9"/>
    <w:rsid w:val="00B774C8"/>
    <w:rsid w:val="00B822D5"/>
    <w:rsid w:val="00B83D20"/>
    <w:rsid w:val="00B85DE1"/>
    <w:rsid w:val="00B865B5"/>
    <w:rsid w:val="00B868F5"/>
    <w:rsid w:val="00B92293"/>
    <w:rsid w:val="00B938B5"/>
    <w:rsid w:val="00B93B6F"/>
    <w:rsid w:val="00B94ACF"/>
    <w:rsid w:val="00B95E69"/>
    <w:rsid w:val="00B97601"/>
    <w:rsid w:val="00B977D0"/>
    <w:rsid w:val="00B97AA6"/>
    <w:rsid w:val="00BA125A"/>
    <w:rsid w:val="00BA2AE0"/>
    <w:rsid w:val="00BA40F9"/>
    <w:rsid w:val="00BA43D0"/>
    <w:rsid w:val="00BA52FC"/>
    <w:rsid w:val="00BA6F2D"/>
    <w:rsid w:val="00BA74C7"/>
    <w:rsid w:val="00BB0024"/>
    <w:rsid w:val="00BB0D9F"/>
    <w:rsid w:val="00BB16C1"/>
    <w:rsid w:val="00BB3A44"/>
    <w:rsid w:val="00BB75CE"/>
    <w:rsid w:val="00BB770F"/>
    <w:rsid w:val="00BC32CC"/>
    <w:rsid w:val="00BC52DD"/>
    <w:rsid w:val="00BC64FA"/>
    <w:rsid w:val="00BD0693"/>
    <w:rsid w:val="00BD0BED"/>
    <w:rsid w:val="00BD3050"/>
    <w:rsid w:val="00BD3C05"/>
    <w:rsid w:val="00BE07D0"/>
    <w:rsid w:val="00BE0BDE"/>
    <w:rsid w:val="00BE32D6"/>
    <w:rsid w:val="00BE3A42"/>
    <w:rsid w:val="00BE58B2"/>
    <w:rsid w:val="00BE5D52"/>
    <w:rsid w:val="00BE5EE9"/>
    <w:rsid w:val="00BE7796"/>
    <w:rsid w:val="00BF0616"/>
    <w:rsid w:val="00BF1754"/>
    <w:rsid w:val="00BF1BB9"/>
    <w:rsid w:val="00BF23F0"/>
    <w:rsid w:val="00BF4210"/>
    <w:rsid w:val="00C00FD4"/>
    <w:rsid w:val="00C035DB"/>
    <w:rsid w:val="00C044F0"/>
    <w:rsid w:val="00C04A3E"/>
    <w:rsid w:val="00C0611F"/>
    <w:rsid w:val="00C07164"/>
    <w:rsid w:val="00C071EA"/>
    <w:rsid w:val="00C14062"/>
    <w:rsid w:val="00C14225"/>
    <w:rsid w:val="00C14C97"/>
    <w:rsid w:val="00C1591C"/>
    <w:rsid w:val="00C175CF"/>
    <w:rsid w:val="00C17955"/>
    <w:rsid w:val="00C20B3B"/>
    <w:rsid w:val="00C22ED7"/>
    <w:rsid w:val="00C25E26"/>
    <w:rsid w:val="00C263D9"/>
    <w:rsid w:val="00C269B8"/>
    <w:rsid w:val="00C33C98"/>
    <w:rsid w:val="00C33F0B"/>
    <w:rsid w:val="00C360DA"/>
    <w:rsid w:val="00C3799C"/>
    <w:rsid w:val="00C42197"/>
    <w:rsid w:val="00C44E1E"/>
    <w:rsid w:val="00C45D2E"/>
    <w:rsid w:val="00C46183"/>
    <w:rsid w:val="00C463DD"/>
    <w:rsid w:val="00C4697A"/>
    <w:rsid w:val="00C471A3"/>
    <w:rsid w:val="00C4771D"/>
    <w:rsid w:val="00C47A65"/>
    <w:rsid w:val="00C54797"/>
    <w:rsid w:val="00C55B14"/>
    <w:rsid w:val="00C56494"/>
    <w:rsid w:val="00C56BE2"/>
    <w:rsid w:val="00C5733F"/>
    <w:rsid w:val="00C61006"/>
    <w:rsid w:val="00C610F3"/>
    <w:rsid w:val="00C61D26"/>
    <w:rsid w:val="00C62176"/>
    <w:rsid w:val="00C6337F"/>
    <w:rsid w:val="00C6429C"/>
    <w:rsid w:val="00C65A6F"/>
    <w:rsid w:val="00C65C41"/>
    <w:rsid w:val="00C6675A"/>
    <w:rsid w:val="00C7039C"/>
    <w:rsid w:val="00C704AB"/>
    <w:rsid w:val="00C73476"/>
    <w:rsid w:val="00C739F9"/>
    <w:rsid w:val="00C7469E"/>
    <w:rsid w:val="00C74BA4"/>
    <w:rsid w:val="00C7529D"/>
    <w:rsid w:val="00C76143"/>
    <w:rsid w:val="00C76A50"/>
    <w:rsid w:val="00C777D0"/>
    <w:rsid w:val="00C81868"/>
    <w:rsid w:val="00C83EC1"/>
    <w:rsid w:val="00C852FD"/>
    <w:rsid w:val="00C85C2D"/>
    <w:rsid w:val="00C86106"/>
    <w:rsid w:val="00C87495"/>
    <w:rsid w:val="00C90E39"/>
    <w:rsid w:val="00C91E86"/>
    <w:rsid w:val="00C9486D"/>
    <w:rsid w:val="00CA1B15"/>
    <w:rsid w:val="00CA23CC"/>
    <w:rsid w:val="00CA5BC1"/>
    <w:rsid w:val="00CA61DE"/>
    <w:rsid w:val="00CA6F39"/>
    <w:rsid w:val="00CB0028"/>
    <w:rsid w:val="00CB0966"/>
    <w:rsid w:val="00CB24A8"/>
    <w:rsid w:val="00CB3407"/>
    <w:rsid w:val="00CB341A"/>
    <w:rsid w:val="00CB3BE4"/>
    <w:rsid w:val="00CB64A0"/>
    <w:rsid w:val="00CC25E6"/>
    <w:rsid w:val="00CC2747"/>
    <w:rsid w:val="00CC3BCD"/>
    <w:rsid w:val="00CC3EAA"/>
    <w:rsid w:val="00CC57AB"/>
    <w:rsid w:val="00CC67ED"/>
    <w:rsid w:val="00CD0A50"/>
    <w:rsid w:val="00CD1A5C"/>
    <w:rsid w:val="00CD1DBB"/>
    <w:rsid w:val="00CD2E15"/>
    <w:rsid w:val="00CD2FD9"/>
    <w:rsid w:val="00CD65A2"/>
    <w:rsid w:val="00CE12FC"/>
    <w:rsid w:val="00CF2919"/>
    <w:rsid w:val="00D001A0"/>
    <w:rsid w:val="00D01898"/>
    <w:rsid w:val="00D02164"/>
    <w:rsid w:val="00D021E6"/>
    <w:rsid w:val="00D02B2B"/>
    <w:rsid w:val="00D0530D"/>
    <w:rsid w:val="00D068F6"/>
    <w:rsid w:val="00D12297"/>
    <w:rsid w:val="00D13502"/>
    <w:rsid w:val="00D13CA7"/>
    <w:rsid w:val="00D152C8"/>
    <w:rsid w:val="00D152E5"/>
    <w:rsid w:val="00D15995"/>
    <w:rsid w:val="00D15C8F"/>
    <w:rsid w:val="00D17373"/>
    <w:rsid w:val="00D17778"/>
    <w:rsid w:val="00D21781"/>
    <w:rsid w:val="00D22690"/>
    <w:rsid w:val="00D22928"/>
    <w:rsid w:val="00D232B1"/>
    <w:rsid w:val="00D243E1"/>
    <w:rsid w:val="00D2526B"/>
    <w:rsid w:val="00D25BC2"/>
    <w:rsid w:val="00D307F2"/>
    <w:rsid w:val="00D30E43"/>
    <w:rsid w:val="00D3131D"/>
    <w:rsid w:val="00D32066"/>
    <w:rsid w:val="00D341CF"/>
    <w:rsid w:val="00D34AA1"/>
    <w:rsid w:val="00D35063"/>
    <w:rsid w:val="00D37544"/>
    <w:rsid w:val="00D37C4A"/>
    <w:rsid w:val="00D407FE"/>
    <w:rsid w:val="00D4158C"/>
    <w:rsid w:val="00D41E31"/>
    <w:rsid w:val="00D42AAC"/>
    <w:rsid w:val="00D42B26"/>
    <w:rsid w:val="00D44EFA"/>
    <w:rsid w:val="00D45886"/>
    <w:rsid w:val="00D46B04"/>
    <w:rsid w:val="00D46F0B"/>
    <w:rsid w:val="00D47A8B"/>
    <w:rsid w:val="00D47C73"/>
    <w:rsid w:val="00D51B32"/>
    <w:rsid w:val="00D5270A"/>
    <w:rsid w:val="00D52D6A"/>
    <w:rsid w:val="00D550A7"/>
    <w:rsid w:val="00D60DE7"/>
    <w:rsid w:val="00D60E82"/>
    <w:rsid w:val="00D61D2B"/>
    <w:rsid w:val="00D64A15"/>
    <w:rsid w:val="00D6553B"/>
    <w:rsid w:val="00D665B1"/>
    <w:rsid w:val="00D673BC"/>
    <w:rsid w:val="00D67998"/>
    <w:rsid w:val="00D7122D"/>
    <w:rsid w:val="00D717B5"/>
    <w:rsid w:val="00D71C25"/>
    <w:rsid w:val="00D73277"/>
    <w:rsid w:val="00D73401"/>
    <w:rsid w:val="00D739C5"/>
    <w:rsid w:val="00D74461"/>
    <w:rsid w:val="00D74F55"/>
    <w:rsid w:val="00D75AFC"/>
    <w:rsid w:val="00D76102"/>
    <w:rsid w:val="00D76EBD"/>
    <w:rsid w:val="00D76F9F"/>
    <w:rsid w:val="00D812D1"/>
    <w:rsid w:val="00D81E30"/>
    <w:rsid w:val="00D81E88"/>
    <w:rsid w:val="00D82644"/>
    <w:rsid w:val="00D83023"/>
    <w:rsid w:val="00D8332A"/>
    <w:rsid w:val="00D85890"/>
    <w:rsid w:val="00D86C74"/>
    <w:rsid w:val="00D86EFF"/>
    <w:rsid w:val="00D9013C"/>
    <w:rsid w:val="00D91BBC"/>
    <w:rsid w:val="00D92394"/>
    <w:rsid w:val="00D93996"/>
    <w:rsid w:val="00D94461"/>
    <w:rsid w:val="00D94DD0"/>
    <w:rsid w:val="00DA0224"/>
    <w:rsid w:val="00DA05A0"/>
    <w:rsid w:val="00DA4246"/>
    <w:rsid w:val="00DA5C99"/>
    <w:rsid w:val="00DA61E1"/>
    <w:rsid w:val="00DA6A85"/>
    <w:rsid w:val="00DA6E2F"/>
    <w:rsid w:val="00DA7A9A"/>
    <w:rsid w:val="00DB0117"/>
    <w:rsid w:val="00DB0712"/>
    <w:rsid w:val="00DB0F02"/>
    <w:rsid w:val="00DB5F4C"/>
    <w:rsid w:val="00DC04C7"/>
    <w:rsid w:val="00DC0861"/>
    <w:rsid w:val="00DC1A89"/>
    <w:rsid w:val="00DC1AE4"/>
    <w:rsid w:val="00DC2BF1"/>
    <w:rsid w:val="00DC3E88"/>
    <w:rsid w:val="00DC4C8E"/>
    <w:rsid w:val="00DC4FB8"/>
    <w:rsid w:val="00DC7766"/>
    <w:rsid w:val="00DD0645"/>
    <w:rsid w:val="00DD198A"/>
    <w:rsid w:val="00DD2B3F"/>
    <w:rsid w:val="00DD6DD0"/>
    <w:rsid w:val="00DE4340"/>
    <w:rsid w:val="00DE535C"/>
    <w:rsid w:val="00DF0FE9"/>
    <w:rsid w:val="00DF1C42"/>
    <w:rsid w:val="00DF3427"/>
    <w:rsid w:val="00DF4461"/>
    <w:rsid w:val="00DF7CDD"/>
    <w:rsid w:val="00E01776"/>
    <w:rsid w:val="00E02174"/>
    <w:rsid w:val="00E021A7"/>
    <w:rsid w:val="00E034C9"/>
    <w:rsid w:val="00E04859"/>
    <w:rsid w:val="00E05AF0"/>
    <w:rsid w:val="00E05FE4"/>
    <w:rsid w:val="00E067D2"/>
    <w:rsid w:val="00E07C4A"/>
    <w:rsid w:val="00E10AC5"/>
    <w:rsid w:val="00E147E8"/>
    <w:rsid w:val="00E15331"/>
    <w:rsid w:val="00E16044"/>
    <w:rsid w:val="00E16958"/>
    <w:rsid w:val="00E20997"/>
    <w:rsid w:val="00E259E3"/>
    <w:rsid w:val="00E27172"/>
    <w:rsid w:val="00E3209E"/>
    <w:rsid w:val="00E33208"/>
    <w:rsid w:val="00E3575D"/>
    <w:rsid w:val="00E35B8F"/>
    <w:rsid w:val="00E36787"/>
    <w:rsid w:val="00E419AE"/>
    <w:rsid w:val="00E41F90"/>
    <w:rsid w:val="00E425FB"/>
    <w:rsid w:val="00E45827"/>
    <w:rsid w:val="00E47578"/>
    <w:rsid w:val="00E505AD"/>
    <w:rsid w:val="00E5302C"/>
    <w:rsid w:val="00E539AD"/>
    <w:rsid w:val="00E53B81"/>
    <w:rsid w:val="00E56D4C"/>
    <w:rsid w:val="00E615AA"/>
    <w:rsid w:val="00E62BB8"/>
    <w:rsid w:val="00E63061"/>
    <w:rsid w:val="00E64CC1"/>
    <w:rsid w:val="00E70518"/>
    <w:rsid w:val="00E7566A"/>
    <w:rsid w:val="00E76322"/>
    <w:rsid w:val="00E77860"/>
    <w:rsid w:val="00E806FB"/>
    <w:rsid w:val="00E836FE"/>
    <w:rsid w:val="00E8472A"/>
    <w:rsid w:val="00E8498C"/>
    <w:rsid w:val="00E85B67"/>
    <w:rsid w:val="00E906D2"/>
    <w:rsid w:val="00E91602"/>
    <w:rsid w:val="00E924F4"/>
    <w:rsid w:val="00E92679"/>
    <w:rsid w:val="00E927DA"/>
    <w:rsid w:val="00E927DD"/>
    <w:rsid w:val="00E928B3"/>
    <w:rsid w:val="00E92B9B"/>
    <w:rsid w:val="00E92E7E"/>
    <w:rsid w:val="00E975A0"/>
    <w:rsid w:val="00E97756"/>
    <w:rsid w:val="00EA06F6"/>
    <w:rsid w:val="00EA082C"/>
    <w:rsid w:val="00EA095D"/>
    <w:rsid w:val="00EA1BE3"/>
    <w:rsid w:val="00EA4475"/>
    <w:rsid w:val="00EA4AF1"/>
    <w:rsid w:val="00EA639B"/>
    <w:rsid w:val="00EA715E"/>
    <w:rsid w:val="00EB079F"/>
    <w:rsid w:val="00EB1980"/>
    <w:rsid w:val="00EB394A"/>
    <w:rsid w:val="00EB692F"/>
    <w:rsid w:val="00EB765D"/>
    <w:rsid w:val="00EB7B6B"/>
    <w:rsid w:val="00EB7E18"/>
    <w:rsid w:val="00EC1664"/>
    <w:rsid w:val="00EC3E58"/>
    <w:rsid w:val="00EC46AB"/>
    <w:rsid w:val="00ED115B"/>
    <w:rsid w:val="00ED1D1C"/>
    <w:rsid w:val="00ED3E43"/>
    <w:rsid w:val="00ED53B2"/>
    <w:rsid w:val="00ED5CAB"/>
    <w:rsid w:val="00ED5DBF"/>
    <w:rsid w:val="00EE39F8"/>
    <w:rsid w:val="00EE6734"/>
    <w:rsid w:val="00EE75D8"/>
    <w:rsid w:val="00EE7F12"/>
    <w:rsid w:val="00EF2305"/>
    <w:rsid w:val="00EF2ABC"/>
    <w:rsid w:val="00EF4648"/>
    <w:rsid w:val="00EF6B41"/>
    <w:rsid w:val="00EF75C3"/>
    <w:rsid w:val="00F00399"/>
    <w:rsid w:val="00F00633"/>
    <w:rsid w:val="00F00E53"/>
    <w:rsid w:val="00F00F33"/>
    <w:rsid w:val="00F02A56"/>
    <w:rsid w:val="00F07F87"/>
    <w:rsid w:val="00F15F3A"/>
    <w:rsid w:val="00F17E7F"/>
    <w:rsid w:val="00F218BD"/>
    <w:rsid w:val="00F22EE5"/>
    <w:rsid w:val="00F232E4"/>
    <w:rsid w:val="00F23C98"/>
    <w:rsid w:val="00F27108"/>
    <w:rsid w:val="00F271B2"/>
    <w:rsid w:val="00F27840"/>
    <w:rsid w:val="00F325E7"/>
    <w:rsid w:val="00F3698E"/>
    <w:rsid w:val="00F41E48"/>
    <w:rsid w:val="00F42EEE"/>
    <w:rsid w:val="00F469B3"/>
    <w:rsid w:val="00F4766B"/>
    <w:rsid w:val="00F50307"/>
    <w:rsid w:val="00F51EC3"/>
    <w:rsid w:val="00F52A86"/>
    <w:rsid w:val="00F53606"/>
    <w:rsid w:val="00F53960"/>
    <w:rsid w:val="00F54143"/>
    <w:rsid w:val="00F5480D"/>
    <w:rsid w:val="00F54BC7"/>
    <w:rsid w:val="00F551CD"/>
    <w:rsid w:val="00F55C2B"/>
    <w:rsid w:val="00F5694C"/>
    <w:rsid w:val="00F56FC7"/>
    <w:rsid w:val="00F621A7"/>
    <w:rsid w:val="00F62245"/>
    <w:rsid w:val="00F633E1"/>
    <w:rsid w:val="00F660A8"/>
    <w:rsid w:val="00F67BF1"/>
    <w:rsid w:val="00F67ED1"/>
    <w:rsid w:val="00F70668"/>
    <w:rsid w:val="00F72CD6"/>
    <w:rsid w:val="00F733E7"/>
    <w:rsid w:val="00F73A3D"/>
    <w:rsid w:val="00F755DB"/>
    <w:rsid w:val="00F76073"/>
    <w:rsid w:val="00F76D7A"/>
    <w:rsid w:val="00F80D25"/>
    <w:rsid w:val="00F82D78"/>
    <w:rsid w:val="00F8483A"/>
    <w:rsid w:val="00F854C8"/>
    <w:rsid w:val="00F8558B"/>
    <w:rsid w:val="00F90DEE"/>
    <w:rsid w:val="00F91B07"/>
    <w:rsid w:val="00F91B8D"/>
    <w:rsid w:val="00F92AE9"/>
    <w:rsid w:val="00F93277"/>
    <w:rsid w:val="00F93B40"/>
    <w:rsid w:val="00F94454"/>
    <w:rsid w:val="00F94DF4"/>
    <w:rsid w:val="00F96081"/>
    <w:rsid w:val="00F9682C"/>
    <w:rsid w:val="00F9789C"/>
    <w:rsid w:val="00F97D55"/>
    <w:rsid w:val="00F97F66"/>
    <w:rsid w:val="00FA18DA"/>
    <w:rsid w:val="00FA2F0E"/>
    <w:rsid w:val="00FA40B1"/>
    <w:rsid w:val="00FA4B41"/>
    <w:rsid w:val="00FA74BE"/>
    <w:rsid w:val="00FB10B9"/>
    <w:rsid w:val="00FB17D5"/>
    <w:rsid w:val="00FB1B67"/>
    <w:rsid w:val="00FB694A"/>
    <w:rsid w:val="00FB70AA"/>
    <w:rsid w:val="00FC05D2"/>
    <w:rsid w:val="00FC1272"/>
    <w:rsid w:val="00FC3B41"/>
    <w:rsid w:val="00FC5BE6"/>
    <w:rsid w:val="00FC619A"/>
    <w:rsid w:val="00FC6232"/>
    <w:rsid w:val="00FC73FA"/>
    <w:rsid w:val="00FD0062"/>
    <w:rsid w:val="00FD0CB9"/>
    <w:rsid w:val="00FD5A80"/>
    <w:rsid w:val="00FE404C"/>
    <w:rsid w:val="00FE454B"/>
    <w:rsid w:val="00FE7F54"/>
    <w:rsid w:val="00FE7FF7"/>
    <w:rsid w:val="00FF0893"/>
    <w:rsid w:val="00FF26C3"/>
    <w:rsid w:val="00FF72B5"/>
    <w:rsid w:val="0BDC23D6"/>
    <w:rsid w:val="1F772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oc 3"/>
    <w:basedOn w:val="1"/>
    <w:next w:val="1"/>
    <w:unhideWhenUsed/>
    <w:qFormat/>
    <w:uiPriority w:val="39"/>
    <w:pPr>
      <w:widowControl/>
      <w:spacing w:after="100" w:line="276" w:lineRule="auto"/>
      <w:ind w:left="440"/>
      <w:jc w:val="left"/>
    </w:pPr>
    <w:rPr>
      <w:kern w:val="0"/>
      <w:sz w:val="22"/>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tabs>
        <w:tab w:val="right" w:leader="dot" w:pos="8296"/>
      </w:tabs>
      <w:spacing w:after="100" w:line="360" w:lineRule="auto"/>
      <w:jc w:val="left"/>
    </w:pPr>
    <w:rPr>
      <w:rFonts w:asciiTheme="minorEastAsia" w:hAnsiTheme="minorEastAsia"/>
      <w:b/>
      <w:kern w:val="0"/>
      <w:sz w:val="24"/>
      <w:szCs w:val="24"/>
    </w:rPr>
  </w:style>
  <w:style w:type="paragraph" w:styleId="9">
    <w:name w:val="footnote text"/>
    <w:basedOn w:val="1"/>
    <w:link w:val="21"/>
    <w:semiHidden/>
    <w:unhideWhenUsed/>
    <w:qFormat/>
    <w:uiPriority w:val="99"/>
    <w:pPr>
      <w:snapToGrid w:val="0"/>
      <w:jc w:val="left"/>
    </w:pPr>
    <w:rPr>
      <w:sz w:val="18"/>
      <w:szCs w:val="18"/>
    </w:rPr>
  </w:style>
  <w:style w:type="paragraph" w:styleId="10">
    <w:name w:val="toc 2"/>
    <w:basedOn w:val="1"/>
    <w:next w:val="1"/>
    <w:unhideWhenUsed/>
    <w:qFormat/>
    <w:uiPriority w:val="39"/>
    <w:pPr>
      <w:widowControl/>
      <w:spacing w:after="100" w:line="276" w:lineRule="auto"/>
      <w:ind w:left="220"/>
      <w:jc w:val="left"/>
    </w:pPr>
    <w:rPr>
      <w:kern w:val="0"/>
      <w:sz w:val="22"/>
    </w:rPr>
  </w:style>
  <w:style w:type="character" w:styleId="13">
    <w:name w:val="Hyperlink"/>
    <w:basedOn w:val="12"/>
    <w:unhideWhenUsed/>
    <w:qFormat/>
    <w:uiPriority w:val="99"/>
    <w:rPr>
      <w:color w:val="0563C1" w:themeColor="hyperlink"/>
      <w:u w:val="single"/>
    </w:rPr>
  </w:style>
  <w:style w:type="character" w:styleId="14">
    <w:name w:val="footnote reference"/>
    <w:basedOn w:val="12"/>
    <w:semiHidden/>
    <w:unhideWhenUsed/>
    <w:qFormat/>
    <w:uiPriority w:val="99"/>
    <w:rPr>
      <w:vertAlign w:val="superscript"/>
    </w:rPr>
  </w:style>
  <w:style w:type="character" w:customStyle="1" w:styleId="15">
    <w:name w:val="页眉 Char"/>
    <w:basedOn w:val="12"/>
    <w:link w:val="7"/>
    <w:qFormat/>
    <w:uiPriority w:val="99"/>
    <w:rPr>
      <w:sz w:val="18"/>
      <w:szCs w:val="18"/>
    </w:rPr>
  </w:style>
  <w:style w:type="character" w:customStyle="1" w:styleId="16">
    <w:name w:val="页脚 Char"/>
    <w:basedOn w:val="12"/>
    <w:link w:val="6"/>
    <w:qFormat/>
    <w:uiPriority w:val="99"/>
    <w:rPr>
      <w:sz w:val="18"/>
      <w:szCs w:val="18"/>
    </w:rPr>
  </w:style>
  <w:style w:type="character" w:customStyle="1" w:styleId="17">
    <w:name w:val="标题 1 Char"/>
    <w:basedOn w:val="12"/>
    <w:link w:val="2"/>
    <w:qFormat/>
    <w:uiPriority w:val="9"/>
    <w:rPr>
      <w:b/>
      <w:bCs/>
      <w:kern w:val="44"/>
      <w:sz w:val="44"/>
      <w:szCs w:val="44"/>
    </w:rPr>
  </w:style>
  <w:style w:type="paragraph" w:customStyle="1" w:styleId="1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character" w:customStyle="1" w:styleId="19">
    <w:name w:val="标题 2 Char"/>
    <w:basedOn w:val="12"/>
    <w:link w:val="3"/>
    <w:qFormat/>
    <w:uiPriority w:val="9"/>
    <w:rPr>
      <w:rFonts w:asciiTheme="majorHAnsi" w:hAnsiTheme="majorHAnsi" w:eastAsiaTheme="majorEastAsia" w:cstheme="majorBidi"/>
      <w:b/>
      <w:bCs/>
      <w:sz w:val="32"/>
      <w:szCs w:val="32"/>
    </w:rPr>
  </w:style>
  <w:style w:type="character" w:customStyle="1" w:styleId="20">
    <w:name w:val="批注框文本 Char"/>
    <w:basedOn w:val="12"/>
    <w:link w:val="5"/>
    <w:semiHidden/>
    <w:qFormat/>
    <w:uiPriority w:val="99"/>
    <w:rPr>
      <w:sz w:val="18"/>
      <w:szCs w:val="18"/>
    </w:rPr>
  </w:style>
  <w:style w:type="character" w:customStyle="1" w:styleId="21">
    <w:name w:val="脚注文本 Char"/>
    <w:basedOn w:val="12"/>
    <w:link w:val="9"/>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B4D58-BA9D-4B60-88A2-FDD6DFCB646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810</Words>
  <Characters>4620</Characters>
  <Lines>38</Lines>
  <Paragraphs>10</Paragraphs>
  <TotalTime>1</TotalTime>
  <ScaleCrop>false</ScaleCrop>
  <LinksUpToDate>false</LinksUpToDate>
  <CharactersWithSpaces>5420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2024-08-05T08:32:00Z</dcterms:created>
  <dc:creator>刘雯</dc:creator>
  <cp:lastModifiedBy>葛伶燕</cp:lastModifiedBy>
  <cp:lastPrinted>2026-04-11T10:18:00Z</cp:lastPrinted>
  <dcterms:modified xsi:type="dcterms:W3CDTF">2026-04-24T02:25:56Z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259E984861C34243B34F725F4195A337</vt:lpwstr>
  </property>
</Properties>
</file>